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949B7" w14:textId="47F9A2BE" w:rsidR="00D11A4D" w:rsidRPr="002E3B47" w:rsidRDefault="00F801E2" w:rsidP="00A01C01">
      <w:pPr>
        <w:pStyle w:val="Title"/>
      </w:pPr>
      <w:r>
        <w:t>Title iii-b and title iii-e</w:t>
      </w:r>
      <w:r w:rsidR="00676983">
        <w:t xml:space="preserve"> faqs</w:t>
      </w:r>
    </w:p>
    <w:p w14:paraId="0B20225B" w14:textId="2D5A31FA" w:rsidR="0028282F" w:rsidRPr="002E3B47" w:rsidRDefault="00B9294F" w:rsidP="002E3B47">
      <w:pPr>
        <w:pStyle w:val="Subtitle"/>
      </w:pPr>
      <w:r>
        <w:t>(Issued 4/23</w:t>
      </w:r>
      <w:r w:rsidR="005A4BC6">
        <w:t>/2020</w:t>
      </w:r>
      <w:r w:rsidR="00B578BB">
        <w:t>)</w:t>
      </w:r>
    </w:p>
    <w:p w14:paraId="59DA3624" w14:textId="0711B52A" w:rsidR="00F01057" w:rsidRDefault="00B9294F" w:rsidP="005C1FE3">
      <w:pPr>
        <w:spacing w:after="360"/>
        <w:rPr>
          <w:rStyle w:val="SubtleEmphasis"/>
        </w:rPr>
      </w:pPr>
      <w:r>
        <w:rPr>
          <w:rStyle w:val="SubtleEmphasis"/>
        </w:rPr>
        <w:t>April 23</w:t>
      </w:r>
      <w:r w:rsidR="00B578BB">
        <w:rPr>
          <w:rStyle w:val="SubtleEmphasis"/>
        </w:rPr>
        <w:t>, 2020</w:t>
      </w:r>
    </w:p>
    <w:p w14:paraId="0EF77752" w14:textId="2B55DFA1" w:rsidR="00676983" w:rsidRPr="00676983" w:rsidRDefault="00676983" w:rsidP="0067698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6797FB13" w14:textId="051094C3" w:rsidR="00676983" w:rsidRPr="00676983" w:rsidRDefault="00B9294F" w:rsidP="00676983">
      <w:pPr>
        <w:rPr>
          <w:rFonts w:ascii="Calibri" w:eastAsia="Times New Roman" w:hAnsi="Calibri" w:cs="Times New Roman"/>
          <w:color w:val="691B1D" w:themeColor="accent1" w:themeShade="BF"/>
        </w:rPr>
      </w:pPr>
      <w:r>
        <w:rPr>
          <w:rFonts w:ascii="Calibri" w:eastAsia="Times New Roman" w:hAnsi="Calibri" w:cs="Times New Roman"/>
          <w:color w:val="691B1D" w:themeColor="accent1" w:themeShade="BF"/>
        </w:rPr>
        <w:t>Could CARES COVID</w:t>
      </w:r>
      <w:r w:rsidR="00676983" w:rsidRPr="00676983">
        <w:rPr>
          <w:rFonts w:ascii="Calibri" w:eastAsia="Times New Roman" w:hAnsi="Calibri" w:cs="Times New Roman"/>
          <w:color w:val="691B1D" w:themeColor="accent1" w:themeShade="BF"/>
        </w:rPr>
        <w:t>-19 funding, normal Title III-E funds, or III-B be used to pay primary caregivers</w:t>
      </w:r>
      <w:r w:rsidR="00676983">
        <w:rPr>
          <w:rFonts w:ascii="Calibri" w:eastAsia="Times New Roman" w:hAnsi="Calibri" w:cs="Times New Roman"/>
          <w:color w:val="691B1D" w:themeColor="accent1" w:themeShade="BF"/>
        </w:rPr>
        <w:t xml:space="preserve"> for time spent providing care?</w:t>
      </w:r>
    </w:p>
    <w:p w14:paraId="19A04600" w14:textId="1D229317" w:rsidR="00676983" w:rsidRPr="00676983" w:rsidRDefault="00676983" w:rsidP="00676983">
      <w:pPr>
        <w:rPr>
          <w:rFonts w:ascii="Calibri" w:eastAsia="Times New Roman" w:hAnsi="Calibri" w:cs="Times New Roman"/>
          <w:color w:val="691B1D" w:themeColor="accent1" w:themeShade="BF"/>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003A3B52" w14:textId="6D1FCBEA" w:rsidR="00676983" w:rsidRPr="00676983" w:rsidRDefault="00676983" w:rsidP="00676983">
      <w:pPr>
        <w:rPr>
          <w:rFonts w:ascii="Calibri" w:eastAsia="Times New Roman" w:hAnsi="Calibri" w:cs="Times New Roman"/>
          <w:color w:val="691B1D" w:themeColor="accent1" w:themeShade="BF"/>
        </w:rPr>
      </w:pPr>
      <w:r w:rsidRPr="00676983">
        <w:rPr>
          <w:rFonts w:ascii="Calibri" w:eastAsia="Times New Roman" w:hAnsi="Calibri" w:cs="Times New Roman"/>
          <w:color w:val="691B1D" w:themeColor="accent1" w:themeShade="BF"/>
        </w:rPr>
        <w:t>A State may provide for a program that allows for payment to family members, including a primary caregiver, for providing personal care, homemaker, and other services to eligible older adults with Title III-B funding.  A State may provide for a program that allows for payment to family members, including a primary caregiver, for providing respite or supplemental services to eligible family caregivers with Title III-E funding.  ACL recognizes that there may be multiple caregivers supporting older adults or adults of any age with early-onset dementia, as well as grandparents and other older relatives caring for children or caring for adults ages 18-59 with disabilities.  Therefore, when using Title III-E funding to provide payment to a primary caregiver, one or more of these other caregive</w:t>
      </w:r>
      <w:r>
        <w:rPr>
          <w:rFonts w:ascii="Calibri" w:eastAsia="Times New Roman" w:hAnsi="Calibri" w:cs="Times New Roman"/>
          <w:color w:val="691B1D" w:themeColor="accent1" w:themeShade="BF"/>
        </w:rPr>
        <w:t>rs may be served as the client.</w:t>
      </w:r>
    </w:p>
    <w:p w14:paraId="59003E60" w14:textId="3703BAAD" w:rsidR="00676983" w:rsidRPr="00676983" w:rsidRDefault="00676983" w:rsidP="00676983">
      <w:pPr>
        <w:rPr>
          <w:rFonts w:ascii="Calibri" w:eastAsia="Times New Roman" w:hAnsi="Calibri" w:cs="Times New Roman"/>
          <w:color w:val="691B1D" w:themeColor="accent1" w:themeShade="BF"/>
        </w:rPr>
      </w:pPr>
      <w:r w:rsidRPr="00676983">
        <w:rPr>
          <w:rFonts w:ascii="Calibri" w:eastAsia="Times New Roman" w:hAnsi="Calibri" w:cs="Times New Roman"/>
          <w:color w:val="691B1D" w:themeColor="accent1" w:themeShade="BF"/>
        </w:rPr>
        <w:t>Additionally, should a State or Tribe (Title VI grantee) request and receive a Major Disaster Declaration (MDD) by the President under the Stafford Act, it triggers disaster relief authority in the Older Americans Act (OAA).  Once a MDD request by a State is approved, Section 310(c) permits states to use any portion of the funds made available under sections of the Act for disaster relief for older individuals. In this regard, flexibility is provided for States – without the need for a separate application, transfer request, or request for a waiver -- to use existing allocations already made to them under</w:t>
      </w:r>
      <w:r>
        <w:rPr>
          <w:rFonts w:ascii="Calibri" w:eastAsia="Times New Roman" w:hAnsi="Calibri" w:cs="Times New Roman"/>
          <w:color w:val="691B1D" w:themeColor="accent1" w:themeShade="BF"/>
        </w:rPr>
        <w:t xml:space="preserve"> the Act for disaster relief. </w:t>
      </w:r>
    </w:p>
    <w:p w14:paraId="52026019" w14:textId="71A6AC31" w:rsidR="00676983" w:rsidRPr="00676983" w:rsidRDefault="00676983" w:rsidP="00676983">
      <w:pPr>
        <w:rPr>
          <w:rFonts w:ascii="Calibri" w:eastAsia="Times New Roman" w:hAnsi="Calibri" w:cs="Times New Roman"/>
          <w:color w:val="691B1D" w:themeColor="accent1" w:themeShade="BF"/>
        </w:rPr>
      </w:pPr>
      <w:r w:rsidRPr="00676983">
        <w:rPr>
          <w:rFonts w:ascii="Calibri" w:eastAsia="Times New Roman" w:hAnsi="Calibri" w:cs="Times New Roman"/>
          <w:color w:val="691B1D" w:themeColor="accent1" w:themeShade="BF"/>
        </w:rPr>
        <w:t>This MDD flexibility applies to OAA, FFCRA, and CARES Act funding during t</w:t>
      </w:r>
      <w:r>
        <w:rPr>
          <w:rFonts w:ascii="Calibri" w:eastAsia="Times New Roman" w:hAnsi="Calibri" w:cs="Times New Roman"/>
          <w:color w:val="691B1D" w:themeColor="accent1" w:themeShade="BF"/>
        </w:rPr>
        <w:t>he period the MDD is in effect.</w:t>
      </w:r>
    </w:p>
    <w:p w14:paraId="35D0AA96" w14:textId="77777777" w:rsidR="000B0318" w:rsidRDefault="000B0318" w:rsidP="00676983">
      <w:pPr>
        <w:rPr>
          <w:rFonts w:ascii="Century Gothic" w:eastAsiaTheme="majorEastAsia" w:hAnsi="Century Gothic" w:cstheme="majorBidi"/>
          <w:b/>
          <w:bCs/>
          <w:sz w:val="28"/>
          <w:szCs w:val="28"/>
        </w:rPr>
      </w:pPr>
    </w:p>
    <w:p w14:paraId="2B9046E4" w14:textId="67C96FBE" w:rsidR="00676983" w:rsidRPr="00676983" w:rsidRDefault="00676983" w:rsidP="0067698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653E3905" w14:textId="16CA2D48" w:rsidR="00676983" w:rsidRPr="00676983" w:rsidRDefault="00676983" w:rsidP="00676983">
      <w:pPr>
        <w:rPr>
          <w:rFonts w:ascii="Calibri" w:eastAsia="Times New Roman" w:hAnsi="Calibri" w:cs="Times New Roman"/>
          <w:color w:val="691B1D" w:themeColor="accent1" w:themeShade="BF"/>
        </w:rPr>
      </w:pPr>
      <w:r w:rsidRPr="00676983">
        <w:rPr>
          <w:rFonts w:ascii="Calibri" w:eastAsia="Times New Roman" w:hAnsi="Calibri" w:cs="Times New Roman"/>
          <w:color w:val="691B1D" w:themeColor="accent1" w:themeShade="BF"/>
        </w:rPr>
        <w:t>Can CARES funding be used to hire additional staff specifically t</w:t>
      </w:r>
      <w:r w:rsidR="00BC7812">
        <w:rPr>
          <w:rFonts w:ascii="Calibri" w:eastAsia="Times New Roman" w:hAnsi="Calibri" w:cs="Times New Roman"/>
          <w:color w:val="691B1D" w:themeColor="accent1" w:themeShade="BF"/>
        </w:rPr>
        <w:t xml:space="preserve">o provide transportation to doctor </w:t>
      </w:r>
      <w:r w:rsidRPr="00676983">
        <w:rPr>
          <w:rFonts w:ascii="Calibri" w:eastAsia="Times New Roman" w:hAnsi="Calibri" w:cs="Times New Roman"/>
          <w:color w:val="691B1D" w:themeColor="accent1" w:themeShade="BF"/>
        </w:rPr>
        <w:t>app</w:t>
      </w:r>
      <w:r w:rsidR="00BC7812">
        <w:rPr>
          <w:rFonts w:ascii="Calibri" w:eastAsia="Times New Roman" w:hAnsi="Calibri" w:cs="Times New Roman"/>
          <w:color w:val="691B1D" w:themeColor="accent1" w:themeShade="BF"/>
        </w:rPr>
        <w:t>oin</w:t>
      </w:r>
      <w:r w:rsidRPr="00676983">
        <w:rPr>
          <w:rFonts w:ascii="Calibri" w:eastAsia="Times New Roman" w:hAnsi="Calibri" w:cs="Times New Roman"/>
          <w:color w:val="691B1D" w:themeColor="accent1" w:themeShade="BF"/>
        </w:rPr>
        <w:t>t</w:t>
      </w:r>
      <w:r w:rsidR="00BC7812">
        <w:rPr>
          <w:rFonts w:ascii="Calibri" w:eastAsia="Times New Roman" w:hAnsi="Calibri" w:cs="Times New Roman"/>
          <w:color w:val="691B1D" w:themeColor="accent1" w:themeShade="BF"/>
        </w:rPr>
        <w:t>ment</w:t>
      </w:r>
      <w:r w:rsidRPr="00676983">
        <w:rPr>
          <w:rFonts w:ascii="Calibri" w:eastAsia="Times New Roman" w:hAnsi="Calibri" w:cs="Times New Roman"/>
          <w:color w:val="691B1D" w:themeColor="accent1" w:themeShade="BF"/>
        </w:rPr>
        <w:t>s or for</w:t>
      </w:r>
      <w:r>
        <w:rPr>
          <w:rFonts w:ascii="Calibri" w:eastAsia="Times New Roman" w:hAnsi="Calibri" w:cs="Times New Roman"/>
          <w:color w:val="691B1D" w:themeColor="accent1" w:themeShade="BF"/>
        </w:rPr>
        <w:t xml:space="preserve"> pharmacy and grocery delivery?</w:t>
      </w:r>
    </w:p>
    <w:p w14:paraId="6A43431D" w14:textId="251E18C1" w:rsidR="00676983" w:rsidRPr="00676983" w:rsidRDefault="00676983" w:rsidP="0067698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317297E9" w14:textId="77777777" w:rsidR="00676983" w:rsidRPr="00676983" w:rsidRDefault="00676983" w:rsidP="00676983">
      <w:pPr>
        <w:rPr>
          <w:rFonts w:ascii="Calibri" w:eastAsia="Times New Roman" w:hAnsi="Calibri" w:cs="Times New Roman"/>
          <w:color w:val="691B1D" w:themeColor="accent1" w:themeShade="BF"/>
        </w:rPr>
      </w:pPr>
      <w:r w:rsidRPr="00676983">
        <w:rPr>
          <w:rFonts w:ascii="Calibri" w:eastAsia="Times New Roman" w:hAnsi="Calibri" w:cs="Times New Roman"/>
          <w:color w:val="691B1D" w:themeColor="accent1" w:themeShade="BF"/>
        </w:rPr>
        <w:t>Such services are allowable under Title III-B and Title III-E funding.  The CARES Act includes funding under Title III-B and Title III-E.</w:t>
      </w:r>
    </w:p>
    <w:p w14:paraId="14E63590" w14:textId="76629B0B" w:rsidR="00676983" w:rsidRPr="00676983" w:rsidRDefault="00F801E2" w:rsidP="00676983">
      <w:pPr>
        <w:rPr>
          <w:rFonts w:ascii="Calibri" w:eastAsia="Times New Roman" w:hAnsi="Calibri" w:cs="Times New Roman"/>
          <w:color w:val="691B1D" w:themeColor="accent1" w:themeShade="BF"/>
        </w:rPr>
      </w:pPr>
      <w:r>
        <w:rPr>
          <w:rFonts w:ascii="Calibri" w:eastAsia="Times New Roman" w:hAnsi="Calibri" w:cs="Times New Roman"/>
          <w:color w:val="691B1D" w:themeColor="accent1" w:themeShade="BF"/>
        </w:rPr>
        <w:br w:type="page"/>
      </w:r>
    </w:p>
    <w:p w14:paraId="02B1B1D1" w14:textId="6B93E942" w:rsidR="00676983" w:rsidRPr="00676983" w:rsidRDefault="00676983" w:rsidP="0067698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lastRenderedPageBreak/>
        <w:t>Question</w:t>
      </w:r>
      <w:r>
        <w:rPr>
          <w:rFonts w:ascii="Century Gothic" w:eastAsiaTheme="majorEastAsia" w:hAnsi="Century Gothic" w:cstheme="majorBidi"/>
          <w:b/>
          <w:bCs/>
          <w:sz w:val="28"/>
          <w:szCs w:val="28"/>
        </w:rPr>
        <w:t>:</w:t>
      </w:r>
    </w:p>
    <w:p w14:paraId="5E0656BB" w14:textId="56304064" w:rsidR="00676983" w:rsidRPr="00676983" w:rsidRDefault="00676983" w:rsidP="00676983">
      <w:pPr>
        <w:rPr>
          <w:rFonts w:ascii="Calibri" w:eastAsia="Times New Roman" w:hAnsi="Calibri" w:cs="Times New Roman"/>
          <w:color w:val="691B1D" w:themeColor="accent1" w:themeShade="BF"/>
        </w:rPr>
      </w:pPr>
      <w:r w:rsidRPr="00676983">
        <w:rPr>
          <w:rFonts w:ascii="Calibri" w:eastAsia="Times New Roman" w:hAnsi="Calibri" w:cs="Times New Roman"/>
          <w:color w:val="691B1D" w:themeColor="accent1" w:themeShade="BF"/>
        </w:rPr>
        <w:t>Can CARES funds be used to develop statewide, regional or local media campaigns aimed at caregivers and promoting se</w:t>
      </w:r>
      <w:r>
        <w:rPr>
          <w:rFonts w:ascii="Calibri" w:eastAsia="Times New Roman" w:hAnsi="Calibri" w:cs="Times New Roman"/>
          <w:color w:val="691B1D" w:themeColor="accent1" w:themeShade="BF"/>
        </w:rPr>
        <w:t>rvices available through ADRCs?</w:t>
      </w:r>
    </w:p>
    <w:p w14:paraId="36107588" w14:textId="20E5637E" w:rsidR="00676983" w:rsidRPr="00676983" w:rsidRDefault="00676983" w:rsidP="00676983">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2BF90E4A" w14:textId="172A2A21" w:rsidR="00D85188" w:rsidRDefault="00676983" w:rsidP="00676983">
      <w:pPr>
        <w:rPr>
          <w:rFonts w:ascii="Calibri" w:eastAsia="Times New Roman" w:hAnsi="Calibri" w:cs="Times New Roman"/>
          <w:color w:val="691B1D" w:themeColor="accent1" w:themeShade="BF"/>
        </w:rPr>
      </w:pPr>
      <w:r w:rsidRPr="00676983">
        <w:rPr>
          <w:rFonts w:ascii="Calibri" w:eastAsia="Times New Roman" w:hAnsi="Calibri" w:cs="Times New Roman"/>
          <w:color w:val="691B1D" w:themeColor="accent1" w:themeShade="BF"/>
        </w:rPr>
        <w:t>Media campaigns are allowable under OAA Title III-B and Title III-E funding.  The CARES Act includes funding under OAA Title III-B and Title III-E.  Additionally, the CARES Act includes ADRC funding, which can be used to promote services available through ADRCs.</w:t>
      </w:r>
    </w:p>
    <w:p w14:paraId="58C477CD" w14:textId="77777777" w:rsidR="000B0318" w:rsidRDefault="000B0318" w:rsidP="00F801E2">
      <w:pPr>
        <w:rPr>
          <w:rFonts w:ascii="Century Gothic" w:eastAsiaTheme="majorEastAsia" w:hAnsi="Century Gothic" w:cstheme="majorBidi"/>
          <w:b/>
          <w:bCs/>
          <w:sz w:val="28"/>
          <w:szCs w:val="28"/>
        </w:rPr>
      </w:pPr>
    </w:p>
    <w:p w14:paraId="372DE5E0" w14:textId="212D0FD1" w:rsidR="00F801E2" w:rsidRDefault="00F801E2" w:rsidP="00F801E2">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Question</w:t>
      </w:r>
      <w:r>
        <w:rPr>
          <w:rFonts w:ascii="Century Gothic" w:eastAsiaTheme="majorEastAsia" w:hAnsi="Century Gothic" w:cstheme="majorBidi"/>
          <w:b/>
          <w:bCs/>
          <w:sz w:val="28"/>
          <w:szCs w:val="28"/>
        </w:rPr>
        <w:t>:</w:t>
      </w:r>
    </w:p>
    <w:p w14:paraId="000E6AFF" w14:textId="26192E68" w:rsidR="00F801E2" w:rsidRPr="00333B4F" w:rsidRDefault="00F801E2" w:rsidP="00F801E2">
      <w:pPr>
        <w:rPr>
          <w:rFonts w:ascii="Calibri" w:eastAsia="Times New Roman" w:hAnsi="Calibri" w:cs="Times New Roman"/>
          <w:color w:val="691B1D" w:themeColor="accent1" w:themeShade="BF"/>
        </w:rPr>
      </w:pPr>
      <w:r w:rsidRPr="00333B4F">
        <w:rPr>
          <w:rFonts w:ascii="Calibri" w:eastAsia="Times New Roman" w:hAnsi="Calibri" w:cs="Times New Roman"/>
          <w:color w:val="691B1D" w:themeColor="accent1" w:themeShade="BF"/>
        </w:rPr>
        <w:t>Does the 3% requirement for spending on legal and ombudsman services apply to the B money we will be receiving from the CARES Act?</w:t>
      </w:r>
    </w:p>
    <w:p w14:paraId="6EEADBC7" w14:textId="2F161C2E" w:rsidR="00F801E2" w:rsidRDefault="00F801E2" w:rsidP="00F801E2">
      <w:pPr>
        <w:rPr>
          <w:rFonts w:ascii="Century Gothic" w:eastAsiaTheme="majorEastAsia" w:hAnsi="Century Gothic" w:cstheme="majorBidi"/>
          <w:b/>
          <w:bCs/>
          <w:sz w:val="28"/>
          <w:szCs w:val="28"/>
        </w:rPr>
      </w:pPr>
      <w:r w:rsidRPr="00676983">
        <w:rPr>
          <w:rFonts w:ascii="Century Gothic" w:eastAsiaTheme="majorEastAsia" w:hAnsi="Century Gothic" w:cstheme="majorBidi"/>
          <w:b/>
          <w:bCs/>
          <w:sz w:val="28"/>
          <w:szCs w:val="28"/>
        </w:rPr>
        <w:t>Answer</w:t>
      </w:r>
      <w:r>
        <w:rPr>
          <w:rFonts w:ascii="Century Gothic" w:eastAsiaTheme="majorEastAsia" w:hAnsi="Century Gothic" w:cstheme="majorBidi"/>
          <w:b/>
          <w:bCs/>
          <w:sz w:val="28"/>
          <w:szCs w:val="28"/>
        </w:rPr>
        <w:t>:</w:t>
      </w:r>
    </w:p>
    <w:p w14:paraId="0D5D9023" w14:textId="11F8B9A3" w:rsidR="00B9294F" w:rsidRDefault="00B9294F" w:rsidP="00F801E2">
      <w:pPr>
        <w:rPr>
          <w:rFonts w:ascii="Calibri" w:eastAsia="Times New Roman" w:hAnsi="Calibri" w:cs="Times New Roman"/>
          <w:color w:val="691B1D" w:themeColor="accent1" w:themeShade="BF"/>
        </w:rPr>
      </w:pPr>
      <w:r>
        <w:rPr>
          <w:rFonts w:ascii="Calibri" w:eastAsia="Times New Roman" w:hAnsi="Calibri" w:cs="Times New Roman"/>
          <w:color w:val="691B1D" w:themeColor="accent1" w:themeShade="BF"/>
        </w:rPr>
        <w:t xml:space="preserve">There is no </w:t>
      </w:r>
      <w:r w:rsidR="0070150E">
        <w:rPr>
          <w:rFonts w:ascii="Calibri" w:eastAsia="Times New Roman" w:hAnsi="Calibri" w:cs="Times New Roman"/>
          <w:color w:val="691B1D" w:themeColor="accent1" w:themeShade="BF"/>
        </w:rPr>
        <w:t xml:space="preserve">specific </w:t>
      </w:r>
      <w:r>
        <w:rPr>
          <w:rFonts w:ascii="Calibri" w:eastAsia="Times New Roman" w:hAnsi="Calibri" w:cs="Times New Roman"/>
          <w:color w:val="691B1D" w:themeColor="accent1" w:themeShade="BF"/>
        </w:rPr>
        <w:t xml:space="preserve">3% requirement for spending on legal and ombudsman services </w:t>
      </w:r>
      <w:r w:rsidR="0070150E">
        <w:rPr>
          <w:rFonts w:ascii="Calibri" w:eastAsia="Times New Roman" w:hAnsi="Calibri" w:cs="Times New Roman"/>
          <w:color w:val="691B1D" w:themeColor="accent1" w:themeShade="BF"/>
        </w:rPr>
        <w:t xml:space="preserve">outlined </w:t>
      </w:r>
      <w:r>
        <w:rPr>
          <w:rFonts w:ascii="Calibri" w:eastAsia="Times New Roman" w:hAnsi="Calibri" w:cs="Times New Roman"/>
          <w:color w:val="691B1D" w:themeColor="accent1" w:themeShade="BF"/>
        </w:rPr>
        <w:t xml:space="preserve">in the OAA.   </w:t>
      </w:r>
      <w:r w:rsidR="008E54A9">
        <w:rPr>
          <w:rFonts w:ascii="Calibri" w:eastAsia="Times New Roman" w:hAnsi="Calibri" w:cs="Times New Roman"/>
          <w:color w:val="691B1D" w:themeColor="accent1" w:themeShade="BF"/>
        </w:rPr>
        <w:t>Section 304(d</w:t>
      </w:r>
      <w:proofErr w:type="gramStart"/>
      <w:r w:rsidR="008E54A9">
        <w:rPr>
          <w:rFonts w:ascii="Calibri" w:eastAsia="Times New Roman" w:hAnsi="Calibri" w:cs="Times New Roman"/>
          <w:color w:val="691B1D" w:themeColor="accent1" w:themeShade="BF"/>
        </w:rPr>
        <w:t>)(</w:t>
      </w:r>
      <w:proofErr w:type="gramEnd"/>
      <w:r w:rsidR="008E54A9">
        <w:rPr>
          <w:rFonts w:ascii="Calibri" w:eastAsia="Times New Roman" w:hAnsi="Calibri" w:cs="Times New Roman"/>
          <w:color w:val="691B1D" w:themeColor="accent1" w:themeShade="BF"/>
        </w:rPr>
        <w:t>1)(B) refers to “such amount as the State agency determines to be adequate for conducting an effective ombudsman program”</w:t>
      </w:r>
      <w:r w:rsidR="0070150E">
        <w:rPr>
          <w:rFonts w:ascii="Calibri" w:eastAsia="Times New Roman" w:hAnsi="Calibri" w:cs="Times New Roman"/>
          <w:color w:val="691B1D" w:themeColor="accent1" w:themeShade="BF"/>
        </w:rPr>
        <w:t xml:space="preserve"> and s</w:t>
      </w:r>
      <w:r w:rsidR="008E54A9">
        <w:rPr>
          <w:rFonts w:ascii="Calibri" w:eastAsia="Times New Roman" w:hAnsi="Calibri" w:cs="Times New Roman"/>
          <w:color w:val="691B1D" w:themeColor="accent1" w:themeShade="BF"/>
        </w:rPr>
        <w:t xml:space="preserve">ection </w:t>
      </w:r>
      <w:r w:rsidR="005D1F9F">
        <w:rPr>
          <w:rFonts w:ascii="Calibri" w:eastAsia="Times New Roman" w:hAnsi="Calibri" w:cs="Times New Roman"/>
          <w:color w:val="691B1D" w:themeColor="accent1" w:themeShade="BF"/>
        </w:rPr>
        <w:t xml:space="preserve">307(a)(2)(C) requires States to specify a minimum proportion of funds </w:t>
      </w:r>
      <w:r w:rsidR="0070150E">
        <w:rPr>
          <w:rFonts w:ascii="Calibri" w:eastAsia="Times New Roman" w:hAnsi="Calibri" w:cs="Times New Roman"/>
          <w:color w:val="691B1D" w:themeColor="accent1" w:themeShade="BF"/>
        </w:rPr>
        <w:t>to</w:t>
      </w:r>
      <w:r w:rsidR="005D1F9F">
        <w:rPr>
          <w:rFonts w:ascii="Calibri" w:eastAsia="Times New Roman" w:hAnsi="Calibri" w:cs="Times New Roman"/>
          <w:color w:val="691B1D" w:themeColor="accent1" w:themeShade="BF"/>
        </w:rPr>
        <w:t xml:space="preserve"> be spent by each area agency and that each area agency has provided assurances</w:t>
      </w:r>
      <w:r w:rsidR="00313706">
        <w:rPr>
          <w:rFonts w:ascii="Calibri" w:eastAsia="Times New Roman" w:hAnsi="Calibri" w:cs="Times New Roman"/>
          <w:color w:val="691B1D" w:themeColor="accent1" w:themeShade="BF"/>
        </w:rPr>
        <w:t>,</w:t>
      </w:r>
      <w:r w:rsidR="005D1F9F">
        <w:rPr>
          <w:rFonts w:ascii="Calibri" w:eastAsia="Times New Roman" w:hAnsi="Calibri" w:cs="Times New Roman"/>
          <w:color w:val="691B1D" w:themeColor="accent1" w:themeShade="BF"/>
        </w:rPr>
        <w:t xml:space="preserve"> according to section 306(a)(2)</w:t>
      </w:r>
      <w:r w:rsidR="00313706">
        <w:rPr>
          <w:rFonts w:ascii="Calibri" w:eastAsia="Times New Roman" w:hAnsi="Calibri" w:cs="Times New Roman"/>
          <w:color w:val="691B1D" w:themeColor="accent1" w:themeShade="BF"/>
        </w:rPr>
        <w:t>,</w:t>
      </w:r>
      <w:r w:rsidR="005D1F9F">
        <w:rPr>
          <w:rFonts w:ascii="Calibri" w:eastAsia="Times New Roman" w:hAnsi="Calibri" w:cs="Times New Roman"/>
          <w:color w:val="691B1D" w:themeColor="accent1" w:themeShade="BF"/>
        </w:rPr>
        <w:t xml:space="preserve"> that an adequate proportion </w:t>
      </w:r>
      <w:r w:rsidR="0070150E">
        <w:rPr>
          <w:rFonts w:ascii="Calibri" w:eastAsia="Times New Roman" w:hAnsi="Calibri" w:cs="Times New Roman"/>
          <w:color w:val="691B1D" w:themeColor="accent1" w:themeShade="BF"/>
        </w:rPr>
        <w:t>will be expended on access, in-home, and legal services.</w:t>
      </w:r>
    </w:p>
    <w:p w14:paraId="4D254205" w14:textId="001927A3" w:rsidR="00F801E2" w:rsidRPr="00F801E2" w:rsidRDefault="0070150E" w:rsidP="00F801E2">
      <w:pPr>
        <w:rPr>
          <w:rFonts w:ascii="Calibri" w:eastAsia="Times New Roman" w:hAnsi="Calibri" w:cs="Times New Roman"/>
          <w:color w:val="691B1D" w:themeColor="accent1" w:themeShade="BF"/>
        </w:rPr>
      </w:pPr>
      <w:r>
        <w:rPr>
          <w:rFonts w:ascii="Calibri" w:eastAsia="Times New Roman" w:hAnsi="Calibri" w:cs="Times New Roman"/>
          <w:color w:val="691B1D" w:themeColor="accent1" w:themeShade="BF"/>
        </w:rPr>
        <w:t>The CARES Act provides supplemental funding for Title III-B.  As such, the provisions outlined above for Title III-B would apply.  However, u</w:t>
      </w:r>
      <w:r w:rsidR="00F801E2" w:rsidRPr="00F801E2">
        <w:rPr>
          <w:rFonts w:ascii="Calibri" w:eastAsia="Times New Roman" w:hAnsi="Calibri" w:cs="Times New Roman"/>
          <w:color w:val="691B1D" w:themeColor="accent1" w:themeShade="BF"/>
        </w:rPr>
        <w:t xml:space="preserve">nder </w:t>
      </w:r>
      <w:r>
        <w:rPr>
          <w:rFonts w:ascii="Calibri" w:eastAsia="Times New Roman" w:hAnsi="Calibri" w:cs="Times New Roman"/>
          <w:color w:val="691B1D" w:themeColor="accent1" w:themeShade="BF"/>
        </w:rPr>
        <w:t xml:space="preserve">the flexibilities provided following </w:t>
      </w:r>
      <w:r w:rsidR="00313706">
        <w:rPr>
          <w:rFonts w:ascii="Calibri" w:eastAsia="Times New Roman" w:hAnsi="Calibri" w:cs="Times New Roman"/>
          <w:color w:val="691B1D" w:themeColor="accent1" w:themeShade="BF"/>
        </w:rPr>
        <w:t xml:space="preserve">approval of </w:t>
      </w:r>
      <w:r>
        <w:rPr>
          <w:rFonts w:ascii="Calibri" w:eastAsia="Times New Roman" w:hAnsi="Calibri" w:cs="Times New Roman"/>
          <w:color w:val="691B1D" w:themeColor="accent1" w:themeShade="BF"/>
        </w:rPr>
        <w:t>a major disaster declaration (MDD)</w:t>
      </w:r>
      <w:r w:rsidR="00313706">
        <w:rPr>
          <w:rFonts w:ascii="Calibri" w:eastAsia="Times New Roman" w:hAnsi="Calibri" w:cs="Times New Roman"/>
          <w:color w:val="691B1D" w:themeColor="accent1" w:themeShade="BF"/>
        </w:rPr>
        <w:t xml:space="preserve"> application</w:t>
      </w:r>
      <w:r>
        <w:rPr>
          <w:rFonts w:ascii="Calibri" w:eastAsia="Times New Roman" w:hAnsi="Calibri" w:cs="Times New Roman"/>
          <w:color w:val="691B1D" w:themeColor="accent1" w:themeShade="BF"/>
        </w:rPr>
        <w:t>,</w:t>
      </w:r>
      <w:r w:rsidR="00F801E2" w:rsidRPr="00F801E2">
        <w:rPr>
          <w:rFonts w:ascii="Calibri" w:eastAsia="Times New Roman" w:hAnsi="Calibri" w:cs="Times New Roman"/>
          <w:color w:val="691B1D" w:themeColor="accent1" w:themeShade="BF"/>
        </w:rPr>
        <w:t xml:space="preserve"> States can expend </w:t>
      </w:r>
      <w:r>
        <w:rPr>
          <w:rFonts w:ascii="Calibri" w:eastAsia="Times New Roman" w:hAnsi="Calibri" w:cs="Times New Roman"/>
          <w:color w:val="691B1D" w:themeColor="accent1" w:themeShade="BF"/>
        </w:rPr>
        <w:t xml:space="preserve">funding </w:t>
      </w:r>
      <w:r w:rsidR="00F801E2" w:rsidRPr="00F801E2">
        <w:rPr>
          <w:rFonts w:ascii="Calibri" w:eastAsia="Times New Roman" w:hAnsi="Calibri" w:cs="Times New Roman"/>
          <w:color w:val="691B1D" w:themeColor="accent1" w:themeShade="BF"/>
        </w:rPr>
        <w:t xml:space="preserve">for whatever services are necessary for disaster </w:t>
      </w:r>
      <w:r>
        <w:rPr>
          <w:rFonts w:ascii="Calibri" w:eastAsia="Times New Roman" w:hAnsi="Calibri" w:cs="Times New Roman"/>
          <w:color w:val="691B1D" w:themeColor="accent1" w:themeShade="BF"/>
        </w:rPr>
        <w:t>relief.</w:t>
      </w:r>
      <w:r w:rsidR="00F801E2" w:rsidRPr="00F801E2">
        <w:rPr>
          <w:rFonts w:ascii="Calibri" w:eastAsia="Times New Roman" w:hAnsi="Calibri" w:cs="Times New Roman"/>
          <w:color w:val="691B1D" w:themeColor="accent1" w:themeShade="BF"/>
        </w:rPr>
        <w:t xml:space="preserve">  </w:t>
      </w:r>
      <w:r>
        <w:rPr>
          <w:rFonts w:ascii="Calibri" w:eastAsia="Times New Roman" w:hAnsi="Calibri" w:cs="Times New Roman"/>
          <w:color w:val="691B1D" w:themeColor="accent1" w:themeShade="BF"/>
        </w:rPr>
        <w:t xml:space="preserve">There would remain an issue with meeting the </w:t>
      </w:r>
      <w:r w:rsidR="00313706">
        <w:rPr>
          <w:rFonts w:ascii="Calibri" w:eastAsia="Times New Roman" w:hAnsi="Calibri" w:cs="Times New Roman"/>
          <w:color w:val="691B1D" w:themeColor="accent1" w:themeShade="BF"/>
        </w:rPr>
        <w:t xml:space="preserve">minimum proportion </w:t>
      </w:r>
      <w:r>
        <w:rPr>
          <w:rFonts w:ascii="Calibri" w:eastAsia="Times New Roman" w:hAnsi="Calibri" w:cs="Times New Roman"/>
          <w:color w:val="691B1D" w:themeColor="accent1" w:themeShade="BF"/>
        </w:rPr>
        <w:t xml:space="preserve">requirement once the period of the MDD ends.  If a State </w:t>
      </w:r>
      <w:r w:rsidR="00F801E2" w:rsidRPr="00F801E2">
        <w:rPr>
          <w:rFonts w:ascii="Calibri" w:eastAsia="Times New Roman" w:hAnsi="Calibri" w:cs="Times New Roman"/>
          <w:color w:val="691B1D" w:themeColor="accent1" w:themeShade="BF"/>
        </w:rPr>
        <w:t xml:space="preserve">uses the </w:t>
      </w:r>
      <w:r>
        <w:rPr>
          <w:rFonts w:ascii="Calibri" w:eastAsia="Times New Roman" w:hAnsi="Calibri" w:cs="Times New Roman"/>
          <w:color w:val="691B1D" w:themeColor="accent1" w:themeShade="BF"/>
        </w:rPr>
        <w:t xml:space="preserve">MDD </w:t>
      </w:r>
      <w:r w:rsidR="00F801E2" w:rsidRPr="00F801E2">
        <w:rPr>
          <w:rFonts w:ascii="Calibri" w:eastAsia="Times New Roman" w:hAnsi="Calibri" w:cs="Times New Roman"/>
          <w:color w:val="691B1D" w:themeColor="accent1" w:themeShade="BF"/>
        </w:rPr>
        <w:t>flexibilities and then ha</w:t>
      </w:r>
      <w:r>
        <w:rPr>
          <w:rFonts w:ascii="Calibri" w:eastAsia="Times New Roman" w:hAnsi="Calibri" w:cs="Times New Roman"/>
          <w:color w:val="691B1D" w:themeColor="accent1" w:themeShade="BF"/>
        </w:rPr>
        <w:t xml:space="preserve">s an end date with remaining III-B </w:t>
      </w:r>
      <w:r w:rsidR="00F801E2" w:rsidRPr="00F801E2">
        <w:rPr>
          <w:rFonts w:ascii="Calibri" w:eastAsia="Times New Roman" w:hAnsi="Calibri" w:cs="Times New Roman"/>
          <w:color w:val="691B1D" w:themeColor="accent1" w:themeShade="BF"/>
        </w:rPr>
        <w:t>funds</w:t>
      </w:r>
      <w:r>
        <w:rPr>
          <w:rFonts w:ascii="Calibri" w:eastAsia="Times New Roman" w:hAnsi="Calibri" w:cs="Times New Roman"/>
          <w:color w:val="691B1D" w:themeColor="accent1" w:themeShade="BF"/>
        </w:rPr>
        <w:t>, they would be subject to meeting</w:t>
      </w:r>
      <w:r w:rsidR="00F801E2" w:rsidRPr="00F801E2">
        <w:rPr>
          <w:rFonts w:ascii="Calibri" w:eastAsia="Times New Roman" w:hAnsi="Calibri" w:cs="Times New Roman"/>
          <w:color w:val="691B1D" w:themeColor="accent1" w:themeShade="BF"/>
        </w:rPr>
        <w:t xml:space="preserve"> the minimum proportion requirements.</w:t>
      </w:r>
      <w:r w:rsidR="00313706">
        <w:rPr>
          <w:rFonts w:ascii="Calibri" w:eastAsia="Times New Roman" w:hAnsi="Calibri" w:cs="Times New Roman"/>
          <w:color w:val="691B1D" w:themeColor="accent1" w:themeShade="BF"/>
        </w:rPr>
        <w:t xml:space="preserve">  </w:t>
      </w:r>
      <w:r>
        <w:rPr>
          <w:rFonts w:ascii="Calibri" w:eastAsia="Times New Roman" w:hAnsi="Calibri" w:cs="Times New Roman"/>
          <w:color w:val="691B1D" w:themeColor="accent1" w:themeShade="BF"/>
        </w:rPr>
        <w:t xml:space="preserve">To avoid this scenario, they should consider </w:t>
      </w:r>
      <w:r w:rsidR="00F801E2" w:rsidRPr="00F801E2">
        <w:rPr>
          <w:rFonts w:ascii="Calibri" w:eastAsia="Times New Roman" w:hAnsi="Calibri" w:cs="Times New Roman"/>
          <w:color w:val="691B1D" w:themeColor="accent1" w:themeShade="BF"/>
        </w:rPr>
        <w:t>request</w:t>
      </w:r>
      <w:r>
        <w:rPr>
          <w:rFonts w:ascii="Calibri" w:eastAsia="Times New Roman" w:hAnsi="Calibri" w:cs="Times New Roman"/>
          <w:color w:val="691B1D" w:themeColor="accent1" w:themeShade="BF"/>
        </w:rPr>
        <w:t>ing</w:t>
      </w:r>
      <w:r w:rsidR="00F801E2" w:rsidRPr="00F801E2">
        <w:rPr>
          <w:rFonts w:ascii="Calibri" w:eastAsia="Times New Roman" w:hAnsi="Calibri" w:cs="Times New Roman"/>
          <w:color w:val="691B1D" w:themeColor="accent1" w:themeShade="BF"/>
        </w:rPr>
        <w:t xml:space="preserve"> a waiver to the minimum proportion requirements identified in Sec 306(a</w:t>
      </w:r>
      <w:proofErr w:type="gramStart"/>
      <w:r w:rsidR="00F801E2" w:rsidRPr="00F801E2">
        <w:rPr>
          <w:rFonts w:ascii="Calibri" w:eastAsia="Times New Roman" w:hAnsi="Calibri" w:cs="Times New Roman"/>
          <w:color w:val="691B1D" w:themeColor="accent1" w:themeShade="BF"/>
        </w:rPr>
        <w:t>)(</w:t>
      </w:r>
      <w:proofErr w:type="gramEnd"/>
      <w:r w:rsidR="00F801E2" w:rsidRPr="00F801E2">
        <w:rPr>
          <w:rFonts w:ascii="Calibri" w:eastAsia="Times New Roman" w:hAnsi="Calibri" w:cs="Times New Roman"/>
          <w:color w:val="691B1D" w:themeColor="accent1" w:themeShade="BF"/>
        </w:rPr>
        <w:t xml:space="preserve">2) and Sec 307(a)(2), under </w:t>
      </w:r>
      <w:r>
        <w:rPr>
          <w:rFonts w:ascii="Calibri" w:eastAsia="Times New Roman" w:hAnsi="Calibri" w:cs="Times New Roman"/>
          <w:color w:val="691B1D" w:themeColor="accent1" w:themeShade="BF"/>
        </w:rPr>
        <w:t xml:space="preserve">the provisions of </w:t>
      </w:r>
      <w:r w:rsidR="00F801E2" w:rsidRPr="00F801E2">
        <w:rPr>
          <w:rFonts w:ascii="Calibri" w:eastAsia="Times New Roman" w:hAnsi="Calibri" w:cs="Times New Roman"/>
          <w:color w:val="691B1D" w:themeColor="accent1" w:themeShade="BF"/>
        </w:rPr>
        <w:t xml:space="preserve">Section 316.  </w:t>
      </w:r>
    </w:p>
    <w:p w14:paraId="45EFA3E4" w14:textId="358C53A4" w:rsidR="00F801E2" w:rsidRDefault="00F801E2" w:rsidP="00F801E2">
      <w:pPr>
        <w:rPr>
          <w:rFonts w:ascii="Calibri" w:eastAsia="Times New Roman" w:hAnsi="Calibri" w:cs="Times New Roman"/>
          <w:color w:val="691B1D" w:themeColor="accent1" w:themeShade="BF"/>
        </w:rPr>
      </w:pPr>
    </w:p>
    <w:p w14:paraId="361AACAD" w14:textId="77777777" w:rsidR="00837746" w:rsidRDefault="00837746" w:rsidP="00837746">
      <w:pPr>
        <w:rPr>
          <w:rFonts w:ascii="Century Gothic" w:hAnsi="Century Gothic"/>
          <w:b/>
          <w:bCs/>
          <w:sz w:val="28"/>
          <w:szCs w:val="28"/>
        </w:rPr>
      </w:pPr>
      <w:r>
        <w:rPr>
          <w:rFonts w:ascii="Century Gothic" w:hAnsi="Century Gothic"/>
          <w:b/>
          <w:bCs/>
          <w:sz w:val="28"/>
          <w:szCs w:val="28"/>
        </w:rPr>
        <w:t>Question:</w:t>
      </w:r>
    </w:p>
    <w:p w14:paraId="385F4250" w14:textId="4D48E8D5" w:rsidR="00837746" w:rsidRPr="00333B4F" w:rsidRDefault="00837746" w:rsidP="00837746">
      <w:pPr>
        <w:rPr>
          <w:rFonts w:ascii="Calibri" w:eastAsia="Times New Roman" w:hAnsi="Calibri" w:cs="Times New Roman"/>
          <w:color w:val="691B1D" w:themeColor="accent1" w:themeShade="BF"/>
        </w:rPr>
      </w:pPr>
      <w:r w:rsidRPr="00333B4F">
        <w:rPr>
          <w:rFonts w:ascii="Calibri" w:eastAsia="Times New Roman" w:hAnsi="Calibri" w:cs="Times New Roman"/>
          <w:color w:val="691B1D" w:themeColor="accent1" w:themeShade="BF"/>
        </w:rPr>
        <w:t>Can S</w:t>
      </w:r>
      <w:r w:rsidRPr="00333B4F">
        <w:rPr>
          <w:rFonts w:ascii="Calibri" w:eastAsia="Times New Roman" w:hAnsi="Calibri" w:cs="Times New Roman"/>
          <w:color w:val="691B1D" w:themeColor="accent1" w:themeShade="BF"/>
        </w:rPr>
        <w:t>tates purchase tablets, iPads and or other “devices” etc. for use by older adults/family caregivers with the supplemental funding?</w:t>
      </w:r>
    </w:p>
    <w:p w14:paraId="397FCC42" w14:textId="77777777" w:rsidR="00837746" w:rsidRDefault="00837746" w:rsidP="00837746">
      <w:pPr>
        <w:rPr>
          <w:rFonts w:ascii="Century Gothic" w:hAnsi="Century Gothic"/>
          <w:b/>
          <w:bCs/>
          <w:sz w:val="28"/>
          <w:szCs w:val="28"/>
        </w:rPr>
      </w:pPr>
      <w:r>
        <w:rPr>
          <w:rFonts w:ascii="Century Gothic" w:hAnsi="Century Gothic"/>
          <w:b/>
          <w:bCs/>
          <w:sz w:val="28"/>
          <w:szCs w:val="28"/>
        </w:rPr>
        <w:t>Answer:</w:t>
      </w:r>
    </w:p>
    <w:p w14:paraId="434898AB" w14:textId="77777777" w:rsidR="00475D2A" w:rsidRDefault="00837746" w:rsidP="00837746">
      <w:pPr>
        <w:rPr>
          <w:rFonts w:ascii="Calibri" w:eastAsia="Times New Roman" w:hAnsi="Calibri" w:cs="Times New Roman"/>
          <w:color w:val="691B1D" w:themeColor="accent1" w:themeShade="BF"/>
        </w:rPr>
      </w:pPr>
      <w:r w:rsidRPr="00333B4F">
        <w:rPr>
          <w:rFonts w:ascii="Calibri" w:eastAsia="Times New Roman" w:hAnsi="Calibri" w:cs="Times New Roman"/>
          <w:color w:val="691B1D" w:themeColor="accent1" w:themeShade="BF"/>
        </w:rPr>
        <w:t xml:space="preserve">The supplemental funding was provided for use under various authorities of the Older Americans Act for responding to the impact and consequences of COVID-19.  For example, purchasing such devices would be permissible under III-B to assist in addressing social isolation; under III-C to assist in ordering food and meals; under III-E to assist in the provision of virtual caregiver support; and under the LTC Ombudsman program to facilitate virtual visitation of facilities.  </w:t>
      </w:r>
    </w:p>
    <w:p w14:paraId="06968BFE" w14:textId="77777777" w:rsidR="000B0318" w:rsidRDefault="00837746" w:rsidP="00837746">
      <w:pPr>
        <w:rPr>
          <w:rFonts w:ascii="Calibri" w:eastAsia="Times New Roman" w:hAnsi="Calibri" w:cs="Times New Roman"/>
          <w:color w:val="691B1D" w:themeColor="accent1" w:themeShade="BF"/>
        </w:rPr>
      </w:pPr>
      <w:r w:rsidRPr="00333B4F">
        <w:rPr>
          <w:rFonts w:ascii="Calibri" w:eastAsia="Times New Roman" w:hAnsi="Calibri" w:cs="Times New Roman"/>
          <w:color w:val="691B1D" w:themeColor="accent1" w:themeShade="BF"/>
        </w:rPr>
        <w:t xml:space="preserve">We urge States to develop policies and procedures governing the provision and usage of such devices and to consider issues such as whether they will be provided on loan, or permanently; what are the criteria for provision; what type </w:t>
      </w:r>
    </w:p>
    <w:p w14:paraId="0489F1DB" w14:textId="588550D6" w:rsidR="004366E0" w:rsidRDefault="00837746" w:rsidP="00837746">
      <w:pPr>
        <w:rPr>
          <w:rFonts w:ascii="Calibri" w:eastAsia="Times New Roman" w:hAnsi="Calibri" w:cs="Times New Roman"/>
          <w:color w:val="691B1D" w:themeColor="accent1" w:themeShade="BF"/>
        </w:rPr>
      </w:pPr>
      <w:r w:rsidRPr="00333B4F">
        <w:rPr>
          <w:rFonts w:ascii="Calibri" w:eastAsia="Times New Roman" w:hAnsi="Calibri" w:cs="Times New Roman"/>
          <w:color w:val="691B1D" w:themeColor="accent1" w:themeShade="BF"/>
        </w:rPr>
        <w:lastRenderedPageBreak/>
        <w:t xml:space="preserve">of assessment will be made to determine the conditions for provision and the frequency for reassessment; whether or not usage by individuals in the home who are younger than age 60 is a permissible use; how will IT support be provided; </w:t>
      </w:r>
      <w:bookmarkStart w:id="0" w:name="_GoBack"/>
      <w:bookmarkEnd w:id="0"/>
      <w:r w:rsidRPr="00333B4F">
        <w:rPr>
          <w:rFonts w:ascii="Calibri" w:eastAsia="Times New Roman" w:hAnsi="Calibri" w:cs="Times New Roman"/>
          <w:color w:val="691B1D" w:themeColor="accent1" w:themeShade="BF"/>
        </w:rPr>
        <w:t>how will</w:t>
      </w:r>
      <w:r>
        <w:t xml:space="preserve"> </w:t>
      </w:r>
      <w:r w:rsidRPr="00333B4F">
        <w:rPr>
          <w:rFonts w:ascii="Calibri" w:eastAsia="Times New Roman" w:hAnsi="Calibri" w:cs="Times New Roman"/>
          <w:color w:val="691B1D" w:themeColor="accent1" w:themeShade="BF"/>
        </w:rPr>
        <w:t xml:space="preserve">upgrades to software be provided; who is responsible if the device is broken, lost or stolen; will it be used only for the duration of the public health emergency and then retrieved; etc.  </w:t>
      </w:r>
    </w:p>
    <w:p w14:paraId="76CBC79B" w14:textId="5B988096" w:rsidR="00837746" w:rsidRPr="00837746" w:rsidRDefault="00837746" w:rsidP="00837746">
      <w:r w:rsidRPr="00333B4F">
        <w:rPr>
          <w:rFonts w:ascii="Calibri" w:eastAsia="Times New Roman" w:hAnsi="Calibri" w:cs="Times New Roman"/>
          <w:color w:val="691B1D" w:themeColor="accent1" w:themeShade="BF"/>
        </w:rPr>
        <w:t>We encourage OAA programs to coordinate with existing programs such as ACL’s Assistive Technology programs:</w:t>
      </w:r>
      <w:r w:rsidRPr="00837746">
        <w:t xml:space="preserve"> </w:t>
      </w:r>
      <w:hyperlink r:id="rId11" w:history="1">
        <w:r>
          <w:rPr>
            <w:rStyle w:val="Hyperlink"/>
          </w:rPr>
          <w:t>https://acl.gov/programs/assistive-technology/assistive-technology</w:t>
        </w:r>
      </w:hyperlink>
      <w:r>
        <w:t xml:space="preserve"> </w:t>
      </w:r>
      <w:r w:rsidRPr="00333B4F">
        <w:rPr>
          <w:rFonts w:ascii="Calibri" w:eastAsia="Times New Roman" w:hAnsi="Calibri" w:cs="Times New Roman"/>
          <w:color w:val="691B1D" w:themeColor="accent1" w:themeShade="BF"/>
        </w:rPr>
        <w:t>prior to use of OAA funds for purchase of devices.</w:t>
      </w:r>
    </w:p>
    <w:p w14:paraId="06CA5B9E" w14:textId="77777777" w:rsidR="00837746" w:rsidRDefault="00837746" w:rsidP="00837746">
      <w:pPr>
        <w:rPr>
          <w:rFonts w:ascii="Century Gothic" w:hAnsi="Century Gothic"/>
          <w:b/>
          <w:bCs/>
          <w:sz w:val="28"/>
          <w:szCs w:val="28"/>
        </w:rPr>
      </w:pPr>
    </w:p>
    <w:p w14:paraId="1C298349" w14:textId="77777777" w:rsidR="00837746" w:rsidRPr="00333B4F" w:rsidRDefault="00837746" w:rsidP="00837746">
      <w:pPr>
        <w:rPr>
          <w:rFonts w:ascii="Century Gothic" w:hAnsi="Century Gothic"/>
          <w:b/>
          <w:bCs/>
          <w:sz w:val="28"/>
          <w:szCs w:val="28"/>
        </w:rPr>
      </w:pPr>
      <w:r w:rsidRPr="00333B4F">
        <w:rPr>
          <w:rFonts w:ascii="Century Gothic" w:hAnsi="Century Gothic"/>
          <w:b/>
          <w:bCs/>
          <w:sz w:val="28"/>
          <w:szCs w:val="28"/>
        </w:rPr>
        <w:t>Question:</w:t>
      </w:r>
    </w:p>
    <w:p w14:paraId="7F9E4B8B" w14:textId="77777777" w:rsidR="00837746" w:rsidRPr="00333B4F" w:rsidRDefault="00837746" w:rsidP="00837746">
      <w:pPr>
        <w:rPr>
          <w:rFonts w:ascii="Calibri" w:eastAsia="Times New Roman" w:hAnsi="Calibri" w:cs="Times New Roman"/>
          <w:color w:val="691B1D" w:themeColor="accent1" w:themeShade="BF"/>
        </w:rPr>
      </w:pPr>
      <w:r w:rsidRPr="00333B4F">
        <w:rPr>
          <w:rFonts w:ascii="Calibri" w:eastAsia="Times New Roman" w:hAnsi="Calibri" w:cs="Times New Roman"/>
          <w:color w:val="691B1D" w:themeColor="accent1" w:themeShade="BF"/>
        </w:rPr>
        <w:t>Can states purchase cell phone, internet/</w:t>
      </w:r>
      <w:proofErr w:type="spellStart"/>
      <w:r w:rsidRPr="00333B4F">
        <w:rPr>
          <w:rFonts w:ascii="Calibri" w:eastAsia="Times New Roman" w:hAnsi="Calibri" w:cs="Times New Roman"/>
          <w:color w:val="691B1D" w:themeColor="accent1" w:themeShade="BF"/>
        </w:rPr>
        <w:t>wifi</w:t>
      </w:r>
      <w:proofErr w:type="spellEnd"/>
      <w:r w:rsidRPr="00333B4F">
        <w:rPr>
          <w:rFonts w:ascii="Calibri" w:eastAsia="Times New Roman" w:hAnsi="Calibri" w:cs="Times New Roman"/>
          <w:color w:val="691B1D" w:themeColor="accent1" w:themeShade="BF"/>
        </w:rPr>
        <w:t>, or broadband access if such services are not otherwise available in the homes of older adults/family caregivers with the supplemental funding?</w:t>
      </w:r>
    </w:p>
    <w:p w14:paraId="76C501C0" w14:textId="77777777" w:rsidR="00837746" w:rsidRPr="00333B4F" w:rsidRDefault="00837746" w:rsidP="00837746">
      <w:pPr>
        <w:rPr>
          <w:rFonts w:ascii="Century Gothic" w:hAnsi="Century Gothic"/>
          <w:b/>
          <w:bCs/>
          <w:sz w:val="28"/>
          <w:szCs w:val="28"/>
        </w:rPr>
      </w:pPr>
      <w:r w:rsidRPr="00333B4F">
        <w:rPr>
          <w:rFonts w:ascii="Century Gothic" w:hAnsi="Century Gothic"/>
          <w:b/>
          <w:bCs/>
          <w:sz w:val="28"/>
          <w:szCs w:val="28"/>
        </w:rPr>
        <w:t>Answer:</w:t>
      </w:r>
    </w:p>
    <w:p w14:paraId="7498FD88" w14:textId="77777777" w:rsidR="004366E0" w:rsidRDefault="00837746" w:rsidP="00837746">
      <w:pPr>
        <w:rPr>
          <w:rFonts w:ascii="Calibri" w:eastAsia="Times New Roman" w:hAnsi="Calibri" w:cs="Times New Roman"/>
          <w:color w:val="691B1D" w:themeColor="accent1" w:themeShade="BF"/>
        </w:rPr>
      </w:pPr>
      <w:r w:rsidRPr="00333B4F">
        <w:rPr>
          <w:rFonts w:ascii="Calibri" w:eastAsia="Times New Roman" w:hAnsi="Calibri" w:cs="Times New Roman"/>
          <w:color w:val="691B1D" w:themeColor="accent1" w:themeShade="BF"/>
        </w:rPr>
        <w:t xml:space="preserve">The supplemental funding was provided for use under various authorities of the Older Americans Act for responding to the impact and consequences of COVID-19.  For example, purchasing </w:t>
      </w:r>
      <w:r w:rsidRPr="00333B4F">
        <w:rPr>
          <w:rFonts w:ascii="Calibri" w:eastAsia="Times New Roman" w:hAnsi="Calibri" w:cs="Times New Roman"/>
          <w:color w:val="691B1D" w:themeColor="accent1" w:themeShade="BF"/>
        </w:rPr>
        <w:t xml:space="preserve">cell phone or </w:t>
      </w:r>
      <w:r w:rsidRPr="00333B4F">
        <w:rPr>
          <w:rFonts w:ascii="Calibri" w:eastAsia="Times New Roman" w:hAnsi="Calibri" w:cs="Times New Roman"/>
          <w:color w:val="691B1D" w:themeColor="accent1" w:themeShade="BF"/>
        </w:rPr>
        <w:t xml:space="preserve">internet access would be permissible under III-B to assist in addressing social isolation; under III-C to assist in ordering food and meals; under III-E to assist in the provision of virtual caregiver support; and under the LTC Ombudsman program to facilitate virtual visitation of facilities.  </w:t>
      </w:r>
    </w:p>
    <w:p w14:paraId="29F452A1" w14:textId="77777777" w:rsidR="004366E0" w:rsidRDefault="00837746" w:rsidP="00837746">
      <w:pPr>
        <w:rPr>
          <w:rFonts w:ascii="Calibri" w:eastAsia="Times New Roman" w:hAnsi="Calibri" w:cs="Times New Roman"/>
          <w:color w:val="691B1D" w:themeColor="accent1" w:themeShade="BF"/>
        </w:rPr>
      </w:pPr>
      <w:r w:rsidRPr="00333B4F">
        <w:rPr>
          <w:rFonts w:ascii="Calibri" w:eastAsia="Times New Roman" w:hAnsi="Calibri" w:cs="Times New Roman"/>
          <w:color w:val="691B1D" w:themeColor="accent1" w:themeShade="BF"/>
        </w:rPr>
        <w:t xml:space="preserve">We urge States to develop policies and procedures governing the provision and usage of cellular or internet access and to consider issues such as whether they will be provided on a fixed short term or longer basis; what are the criteria for provision; what type of assessment will be made to determine the conditions for provision and the frequency for reassessment; whether or not usage by individuals in the home who are younger than age 60 is a permissible use; how will IT support be provided; who is responsible if any limits on usage are exceeded; will it be provided only for the duration of the public health emergency; etc.  </w:t>
      </w:r>
    </w:p>
    <w:p w14:paraId="4BF711B2" w14:textId="74A5A822" w:rsidR="00FB6788" w:rsidRDefault="00837746" w:rsidP="00FB6788">
      <w:pPr>
        <w:rPr>
          <w:color w:val="1F497D"/>
        </w:rPr>
      </w:pPr>
      <w:r w:rsidRPr="00333B4F">
        <w:rPr>
          <w:rFonts w:ascii="Calibri" w:eastAsia="Times New Roman" w:hAnsi="Calibri" w:cs="Times New Roman"/>
          <w:color w:val="691B1D" w:themeColor="accent1" w:themeShade="BF"/>
        </w:rPr>
        <w:t>We encourage OAA programs to coordinate with existing programs such as FCC’s Lifeline programs:</w:t>
      </w:r>
      <w:r w:rsidRPr="00837746">
        <w:rPr>
          <w:color w:val="44546A"/>
        </w:rPr>
        <w:t xml:space="preserve"> </w:t>
      </w:r>
      <w:hyperlink r:id="rId12" w:history="1">
        <w:r>
          <w:rPr>
            <w:rStyle w:val="Hyperlink"/>
          </w:rPr>
          <w:t>https://www.fcc.gov/consumers/guides/lifeline-support-affordable-communications</w:t>
        </w:r>
      </w:hyperlink>
      <w:r w:rsidRPr="00837746">
        <w:rPr>
          <w:color w:val="44546A"/>
        </w:rPr>
        <w:t xml:space="preserve"> </w:t>
      </w:r>
      <w:r w:rsidRPr="00333B4F">
        <w:rPr>
          <w:rFonts w:ascii="Calibri" w:eastAsia="Times New Roman" w:hAnsi="Calibri" w:cs="Times New Roman"/>
          <w:color w:val="691B1D" w:themeColor="accent1" w:themeShade="BF"/>
        </w:rPr>
        <w:t xml:space="preserve">prior to use of OAA funds for </w:t>
      </w:r>
      <w:r w:rsidR="00FD3CA8">
        <w:rPr>
          <w:rFonts w:ascii="Calibri" w:eastAsia="Times New Roman" w:hAnsi="Calibri" w:cs="Times New Roman"/>
          <w:color w:val="691B1D" w:themeColor="accent1" w:themeShade="BF"/>
        </w:rPr>
        <w:t xml:space="preserve">the </w:t>
      </w:r>
      <w:r w:rsidRPr="00333B4F">
        <w:rPr>
          <w:rFonts w:ascii="Calibri" w:eastAsia="Times New Roman" w:hAnsi="Calibri" w:cs="Times New Roman"/>
          <w:color w:val="691B1D" w:themeColor="accent1" w:themeShade="BF"/>
        </w:rPr>
        <w:t>purchase of cellular or internet access.</w:t>
      </w:r>
      <w:r w:rsidR="00FB6788">
        <w:rPr>
          <w:rFonts w:ascii="Calibri" w:eastAsia="Times New Roman" w:hAnsi="Calibri" w:cs="Times New Roman"/>
          <w:color w:val="691B1D" w:themeColor="accent1" w:themeShade="BF"/>
        </w:rPr>
        <w:t xml:space="preserve">  </w:t>
      </w:r>
    </w:p>
    <w:p w14:paraId="788F9F3E" w14:textId="77225D90" w:rsidR="00FB6788" w:rsidRPr="00333B4F" w:rsidRDefault="00FB6788" w:rsidP="00837746">
      <w:pPr>
        <w:rPr>
          <w:rFonts w:ascii="Calibri" w:eastAsia="Times New Roman" w:hAnsi="Calibri" w:cs="Times New Roman"/>
          <w:color w:val="691B1D" w:themeColor="accent1" w:themeShade="BF"/>
        </w:rPr>
      </w:pPr>
    </w:p>
    <w:p w14:paraId="2E9A186E" w14:textId="4C5D65E4" w:rsidR="00AE1B42" w:rsidRPr="00AE1B42" w:rsidRDefault="00AE1B42" w:rsidP="00F801E2"/>
    <w:p w14:paraId="54C6C79A" w14:textId="77777777" w:rsidR="00F801E2" w:rsidRDefault="00F801E2" w:rsidP="00F801E2">
      <w:pPr>
        <w:rPr>
          <w:rFonts w:ascii="Calibri" w:eastAsia="Times New Roman" w:hAnsi="Calibri" w:cs="Times New Roman"/>
          <w:color w:val="691B1D" w:themeColor="accent1" w:themeShade="BF"/>
        </w:rPr>
      </w:pPr>
    </w:p>
    <w:p w14:paraId="19388881" w14:textId="28D98060" w:rsidR="00F801E2" w:rsidRPr="00F801E2" w:rsidRDefault="00F801E2" w:rsidP="00F801E2">
      <w:pPr>
        <w:rPr>
          <w:rFonts w:ascii="Calibri" w:eastAsia="Times New Roman" w:hAnsi="Calibri" w:cs="Times New Roman"/>
          <w:color w:val="691B1D" w:themeColor="accent1" w:themeShade="BF"/>
        </w:rPr>
      </w:pPr>
    </w:p>
    <w:p w14:paraId="7E43E6BA" w14:textId="77777777" w:rsidR="00F801E2" w:rsidRPr="00676983" w:rsidRDefault="00F801E2" w:rsidP="00F801E2">
      <w:pPr>
        <w:rPr>
          <w:rFonts w:ascii="Century Gothic" w:eastAsiaTheme="majorEastAsia" w:hAnsi="Century Gothic" w:cstheme="majorBidi"/>
          <w:b/>
          <w:bCs/>
          <w:sz w:val="28"/>
          <w:szCs w:val="28"/>
        </w:rPr>
      </w:pPr>
    </w:p>
    <w:p w14:paraId="479EEE6F" w14:textId="77777777" w:rsidR="00F801E2" w:rsidRPr="002C24B9" w:rsidRDefault="00F801E2" w:rsidP="00676983">
      <w:pPr>
        <w:rPr>
          <w:rFonts w:ascii="Calibri" w:eastAsia="Times New Roman" w:hAnsi="Calibri" w:cs="Times New Roman"/>
          <w:color w:val="691B1D" w:themeColor="accent1" w:themeShade="BF"/>
        </w:rPr>
      </w:pPr>
    </w:p>
    <w:sectPr w:rsidR="00F801E2" w:rsidRPr="002C24B9" w:rsidSect="00C578F6">
      <w:headerReference w:type="default" r:id="rId13"/>
      <w:footerReference w:type="default" r:id="rId14"/>
      <w:headerReference w:type="first" r:id="rId15"/>
      <w:footerReference w:type="first" r:id="rId16"/>
      <w:pgSz w:w="12240" w:h="15840"/>
      <w:pgMar w:top="1270" w:right="720" w:bottom="144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09FB8" w14:textId="77777777" w:rsidR="00CD07F1" w:rsidRDefault="00CD07F1" w:rsidP="00944993">
      <w:pPr>
        <w:spacing w:after="0" w:line="240" w:lineRule="auto"/>
      </w:pPr>
      <w:r>
        <w:separator/>
      </w:r>
    </w:p>
  </w:endnote>
  <w:endnote w:type="continuationSeparator" w:id="0">
    <w:p w14:paraId="2105382C" w14:textId="77777777" w:rsidR="00CD07F1" w:rsidRDefault="00CD07F1" w:rsidP="0094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JGNKO H+ New Century Schlb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07D30" w14:textId="1917E93A" w:rsidR="00944993" w:rsidRDefault="00944993" w:rsidP="00CF0395">
    <w:pPr>
      <w:pStyle w:val="Footer"/>
      <w:ind w:hanging="720"/>
    </w:pPr>
    <w:r>
      <w:rPr>
        <w:noProof/>
      </w:rPr>
      <w:drawing>
        <wp:anchor distT="0" distB="0" distL="114300" distR="114300" simplePos="0" relativeHeight="251656704" behindDoc="1" locked="0" layoutInCell="1" allowOverlap="1" wp14:anchorId="455B160F" wp14:editId="4D33EABF">
          <wp:simplePos x="0" y="0"/>
          <wp:positionH relativeFrom="column">
            <wp:posOffset>-457200</wp:posOffset>
          </wp:positionH>
          <wp:positionV relativeFrom="paragraph">
            <wp:posOffset>-2362835</wp:posOffset>
          </wp:positionV>
          <wp:extent cx="7771440" cy="2532380"/>
          <wp:effectExtent l="0" t="0" r="1270" b="1270"/>
          <wp:wrapNone/>
          <wp:docPr id="258" name="Picture 25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5B60" w14:textId="262A1FC3" w:rsidR="003364C4" w:rsidRDefault="003364C4">
    <w:pPr>
      <w:pStyle w:val="Footer"/>
    </w:pPr>
    <w:r>
      <w:rPr>
        <w:noProof/>
      </w:rPr>
      <w:drawing>
        <wp:anchor distT="0" distB="0" distL="114300" distR="114300" simplePos="0" relativeHeight="251657728" behindDoc="1" locked="0" layoutInCell="1" allowOverlap="1" wp14:anchorId="39113948" wp14:editId="32B53FCA">
          <wp:simplePos x="0" y="0"/>
          <wp:positionH relativeFrom="column">
            <wp:posOffset>-457200</wp:posOffset>
          </wp:positionH>
          <wp:positionV relativeFrom="paragraph">
            <wp:posOffset>-2355850</wp:posOffset>
          </wp:positionV>
          <wp:extent cx="7771440" cy="2532380"/>
          <wp:effectExtent l="0" t="0" r="1270" b="1270"/>
          <wp:wrapNone/>
          <wp:docPr id="260" name="Picture 26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Image.jpg"/>
                  <pic:cNvPicPr/>
                </pic:nvPicPr>
                <pic:blipFill rotWithShape="1">
                  <a:blip r:embed="rId1">
                    <a:extLst>
                      <a:ext uri="{28A0092B-C50C-407E-A947-70E740481C1C}">
                        <a14:useLocalDpi xmlns:a14="http://schemas.microsoft.com/office/drawing/2010/main" val="0"/>
                      </a:ext>
                    </a:extLst>
                  </a:blip>
                  <a:srcRect t="8490"/>
                  <a:stretch/>
                </pic:blipFill>
                <pic:spPr bwMode="auto">
                  <a:xfrm>
                    <a:off x="0" y="0"/>
                    <a:ext cx="7771440" cy="2532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476DC" w14:textId="77777777" w:rsidR="00CD07F1" w:rsidRDefault="00CD07F1" w:rsidP="00944993">
      <w:pPr>
        <w:spacing w:after="0" w:line="240" w:lineRule="auto"/>
      </w:pPr>
      <w:r>
        <w:separator/>
      </w:r>
    </w:p>
  </w:footnote>
  <w:footnote w:type="continuationSeparator" w:id="0">
    <w:p w14:paraId="7247B674" w14:textId="77777777" w:rsidR="00CD07F1" w:rsidRDefault="00CD07F1" w:rsidP="00944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AE17" w14:textId="45C0E176" w:rsidR="00944993" w:rsidRPr="000C293F" w:rsidRDefault="00944993" w:rsidP="00CF0395">
    <w:pPr>
      <w:pStyle w:val="Header"/>
      <w:ind w:hanging="720"/>
      <w:rPr>
        <w:sz w:val="20"/>
        <w:szCs w:val="20"/>
      </w:rPr>
    </w:pPr>
  </w:p>
  <w:p w14:paraId="59D56579" w14:textId="77777777" w:rsidR="0016738D" w:rsidRPr="0016738D" w:rsidRDefault="0016738D" w:rsidP="0016738D">
    <w:pPr>
      <w:spacing w:before="360" w:after="0" w:line="204" w:lineRule="auto"/>
      <w:contextualSpacing/>
      <w:rPr>
        <w:rFonts w:ascii="Century Gothic" w:eastAsiaTheme="majorEastAsia" w:hAnsi="Century Gothic" w:cstheme="majorBidi"/>
        <w:caps/>
        <w:color w:val="2B2B2B" w:themeColor="text2"/>
        <w:sz w:val="20"/>
        <w:szCs w:val="20"/>
      </w:rPr>
    </w:pPr>
    <w:r w:rsidRPr="0016738D">
      <w:rPr>
        <w:rFonts w:ascii="Century Gothic" w:eastAsiaTheme="majorEastAsia" w:hAnsi="Century Gothic" w:cstheme="majorBidi"/>
        <w:caps/>
        <w:color w:val="2B2B2B" w:themeColor="text2"/>
        <w:sz w:val="20"/>
        <w:szCs w:val="20"/>
      </w:rPr>
      <w:t>National family caregiver support program faqs</w:t>
    </w:r>
  </w:p>
  <w:p w14:paraId="117D1F58" w14:textId="1BA2478F" w:rsidR="00E215C7" w:rsidRPr="003364C4" w:rsidRDefault="00E215C7" w:rsidP="00961A03">
    <w:pPr>
      <w:pStyle w:val="Header"/>
      <w:ind w:hanging="720"/>
      <w:jc w:val="right"/>
      <w:rPr>
        <w:rFonts w:ascii="Century Gothic" w:hAnsi="Century Gothic" w:cstheme="majorHAnsi"/>
        <w:color w:val="461214" w:themeColor="accent1" w:themeShade="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34E8E" w14:textId="7797E215" w:rsidR="00A01C01" w:rsidRDefault="00A01C01" w:rsidP="00A01C01">
    <w:pPr>
      <w:pStyle w:val="Header"/>
      <w:ind w:hanging="720"/>
    </w:pPr>
    <w:r>
      <w:rPr>
        <w:noProof/>
      </w:rPr>
      <w:drawing>
        <wp:inline distT="0" distB="0" distL="0" distR="0" wp14:anchorId="44A0F89B" wp14:editId="6AEBA5D2">
          <wp:extent cx="7772400" cy="1452194"/>
          <wp:effectExtent l="0" t="0" r="0" b="0"/>
          <wp:docPr id="259" name="Picture 259" descr="Administration for Community Living COVID-19 Response. ACL.gov/COVID-19. ACL is an operating division of the U.S.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COVID19Response.jpg"/>
                  <pic:cNvPicPr/>
                </pic:nvPicPr>
                <pic:blipFill rotWithShape="1">
                  <a:blip r:embed="rId1">
                    <a:extLst>
                      <a:ext uri="{28A0092B-C50C-407E-A947-70E740481C1C}">
                        <a14:useLocalDpi xmlns:a14="http://schemas.microsoft.com/office/drawing/2010/main" val="0"/>
                      </a:ext>
                    </a:extLst>
                  </a:blip>
                  <a:srcRect t="10404" b="12387"/>
                  <a:stretch/>
                </pic:blipFill>
                <pic:spPr bwMode="auto">
                  <a:xfrm>
                    <a:off x="0" y="0"/>
                    <a:ext cx="7772400" cy="14521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7F0"/>
    <w:multiLevelType w:val="hybridMultilevel"/>
    <w:tmpl w:val="86DE8D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1331C"/>
    <w:multiLevelType w:val="hybridMultilevel"/>
    <w:tmpl w:val="29BA3C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F3C61"/>
    <w:multiLevelType w:val="hybridMultilevel"/>
    <w:tmpl w:val="DB722CC8"/>
    <w:lvl w:ilvl="0" w:tplc="A49EC57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77B44"/>
    <w:multiLevelType w:val="hybridMultilevel"/>
    <w:tmpl w:val="77D0C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88459C"/>
    <w:multiLevelType w:val="hybridMultilevel"/>
    <w:tmpl w:val="99282B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B3E3D"/>
    <w:multiLevelType w:val="hybridMultilevel"/>
    <w:tmpl w:val="EE224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341A5B"/>
    <w:multiLevelType w:val="hybridMultilevel"/>
    <w:tmpl w:val="99282B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82C7E"/>
    <w:multiLevelType w:val="hybridMultilevel"/>
    <w:tmpl w:val="E1FADF7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A180D9D"/>
    <w:multiLevelType w:val="hybridMultilevel"/>
    <w:tmpl w:val="77CC389A"/>
    <w:lvl w:ilvl="0" w:tplc="B0CE624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360C03"/>
    <w:multiLevelType w:val="hybridMultilevel"/>
    <w:tmpl w:val="17E87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71F82"/>
    <w:multiLevelType w:val="hybridMultilevel"/>
    <w:tmpl w:val="FB1053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9B34870"/>
    <w:multiLevelType w:val="hybridMultilevel"/>
    <w:tmpl w:val="4D4CD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3113457"/>
    <w:multiLevelType w:val="hybridMultilevel"/>
    <w:tmpl w:val="E1FADF7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4814EAC"/>
    <w:multiLevelType w:val="hybridMultilevel"/>
    <w:tmpl w:val="436CF9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68D4423"/>
    <w:multiLevelType w:val="hybridMultilevel"/>
    <w:tmpl w:val="903A8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94672"/>
    <w:multiLevelType w:val="hybridMultilevel"/>
    <w:tmpl w:val="55728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A4963"/>
    <w:multiLevelType w:val="hybridMultilevel"/>
    <w:tmpl w:val="1AFC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527E1"/>
    <w:multiLevelType w:val="hybridMultilevel"/>
    <w:tmpl w:val="415E1A58"/>
    <w:lvl w:ilvl="0" w:tplc="4DAE66F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4698F"/>
    <w:multiLevelType w:val="hybridMultilevel"/>
    <w:tmpl w:val="4182A976"/>
    <w:lvl w:ilvl="0" w:tplc="9E92C7E0">
      <w:numFmt w:val="bullet"/>
      <w:pStyle w:val="ListParagraph"/>
      <w:lvlText w:val="•"/>
      <w:lvlJc w:val="left"/>
      <w:pPr>
        <w:ind w:left="720" w:hanging="360"/>
      </w:pPr>
      <w:rPr>
        <w:rFonts w:ascii="Calibri" w:hAnsi="Calibri" w:hint="default"/>
        <w:color w:val="8D2428"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2D0DD3"/>
    <w:multiLevelType w:val="hybridMultilevel"/>
    <w:tmpl w:val="39DE55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5C950F87"/>
    <w:multiLevelType w:val="hybridMultilevel"/>
    <w:tmpl w:val="3A8683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F5AA0"/>
    <w:multiLevelType w:val="hybridMultilevel"/>
    <w:tmpl w:val="44B8A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45AA9"/>
    <w:multiLevelType w:val="hybridMultilevel"/>
    <w:tmpl w:val="B192D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1C7E30"/>
    <w:multiLevelType w:val="hybridMultilevel"/>
    <w:tmpl w:val="E4FAC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087836"/>
    <w:multiLevelType w:val="hybridMultilevel"/>
    <w:tmpl w:val="E280DA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2377A2"/>
    <w:multiLevelType w:val="hybridMultilevel"/>
    <w:tmpl w:val="5A8E93DA"/>
    <w:lvl w:ilvl="0" w:tplc="779E832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F472D37"/>
    <w:multiLevelType w:val="hybridMultilevel"/>
    <w:tmpl w:val="0862E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8"/>
  </w:num>
  <w:num w:numId="3">
    <w:abstractNumId w:val="18"/>
  </w:num>
  <w:num w:numId="4">
    <w:abstractNumId w:val="23"/>
  </w:num>
  <w:num w:numId="5">
    <w:abstractNumId w:val="20"/>
  </w:num>
  <w:num w:numId="6">
    <w:abstractNumId w:val="6"/>
  </w:num>
  <w:num w:numId="7">
    <w:abstractNumId w:val="11"/>
  </w:num>
  <w:num w:numId="8">
    <w:abstractNumId w:val="16"/>
  </w:num>
  <w:num w:numId="9">
    <w:abstractNumId w:val="9"/>
  </w:num>
  <w:num w:numId="10">
    <w:abstractNumId w:val="18"/>
  </w:num>
  <w:num w:numId="11">
    <w:abstractNumId w:val="1"/>
  </w:num>
  <w:num w:numId="12">
    <w:abstractNumId w:val="0"/>
  </w:num>
  <w:num w:numId="13">
    <w:abstractNumId w:val="12"/>
  </w:num>
  <w:num w:numId="14">
    <w:abstractNumId w:val="18"/>
  </w:num>
  <w:num w:numId="15">
    <w:abstractNumId w:val="24"/>
  </w:num>
  <w:num w:numId="16">
    <w:abstractNumId w:val="14"/>
  </w:num>
  <w:num w:numId="17">
    <w:abstractNumId w:val="19"/>
  </w:num>
  <w:num w:numId="18">
    <w:abstractNumId w:val="18"/>
  </w:num>
  <w:num w:numId="19">
    <w:abstractNumId w:val="17"/>
  </w:num>
  <w:num w:numId="20">
    <w:abstractNumId w:val="18"/>
  </w:num>
  <w:num w:numId="21">
    <w:abstractNumId w:val="18"/>
  </w:num>
  <w:num w:numId="22">
    <w:abstractNumId w:val="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18"/>
  </w:num>
  <w:num w:numId="30">
    <w:abstractNumId w:val="7"/>
  </w:num>
  <w:num w:numId="31">
    <w:abstractNumId w:val="15"/>
  </w:num>
  <w:num w:numId="32">
    <w:abstractNumId w:val="3"/>
  </w:num>
  <w:num w:numId="33">
    <w:abstractNumId w:val="22"/>
  </w:num>
  <w:num w:numId="34">
    <w:abstractNumId w:val="18"/>
  </w:num>
  <w:num w:numId="35">
    <w:abstractNumId w:val="21"/>
  </w:num>
  <w:num w:numId="36">
    <w:abstractNumId w:val="4"/>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93"/>
    <w:rsid w:val="00001311"/>
    <w:rsid w:val="00033EE8"/>
    <w:rsid w:val="00037F1D"/>
    <w:rsid w:val="00041940"/>
    <w:rsid w:val="000705FA"/>
    <w:rsid w:val="000841BD"/>
    <w:rsid w:val="000A28BE"/>
    <w:rsid w:val="000B0318"/>
    <w:rsid w:val="000C0EB7"/>
    <w:rsid w:val="000C293F"/>
    <w:rsid w:val="001004A9"/>
    <w:rsid w:val="00116C89"/>
    <w:rsid w:val="001210A2"/>
    <w:rsid w:val="00131E50"/>
    <w:rsid w:val="0016738D"/>
    <w:rsid w:val="001771DC"/>
    <w:rsid w:val="00181EEB"/>
    <w:rsid w:val="001878F9"/>
    <w:rsid w:val="001A7982"/>
    <w:rsid w:val="001C2752"/>
    <w:rsid w:val="001C605A"/>
    <w:rsid w:val="001D045E"/>
    <w:rsid w:val="001E1002"/>
    <w:rsid w:val="001E5F86"/>
    <w:rsid w:val="001E7FD6"/>
    <w:rsid w:val="001F1D35"/>
    <w:rsid w:val="002171DC"/>
    <w:rsid w:val="00220D75"/>
    <w:rsid w:val="00226C07"/>
    <w:rsid w:val="002618E3"/>
    <w:rsid w:val="0028282F"/>
    <w:rsid w:val="0028369D"/>
    <w:rsid w:val="002C24B9"/>
    <w:rsid w:val="002C270A"/>
    <w:rsid w:val="002D60C1"/>
    <w:rsid w:val="002D6AB7"/>
    <w:rsid w:val="002E3B47"/>
    <w:rsid w:val="002E57B5"/>
    <w:rsid w:val="002F76B9"/>
    <w:rsid w:val="00305C76"/>
    <w:rsid w:val="00313706"/>
    <w:rsid w:val="00321C6E"/>
    <w:rsid w:val="00331BA9"/>
    <w:rsid w:val="00333B4F"/>
    <w:rsid w:val="003364C4"/>
    <w:rsid w:val="003426E2"/>
    <w:rsid w:val="00345FBC"/>
    <w:rsid w:val="00382430"/>
    <w:rsid w:val="0038517D"/>
    <w:rsid w:val="003928C5"/>
    <w:rsid w:val="003C152C"/>
    <w:rsid w:val="003D4A16"/>
    <w:rsid w:val="003D6E07"/>
    <w:rsid w:val="003F3BD8"/>
    <w:rsid w:val="00425DA8"/>
    <w:rsid w:val="004366E0"/>
    <w:rsid w:val="00440037"/>
    <w:rsid w:val="0044052A"/>
    <w:rsid w:val="004609AB"/>
    <w:rsid w:val="00467927"/>
    <w:rsid w:val="00475D2A"/>
    <w:rsid w:val="004800DD"/>
    <w:rsid w:val="00493DF0"/>
    <w:rsid w:val="004A5055"/>
    <w:rsid w:val="004B12DB"/>
    <w:rsid w:val="004C1CC9"/>
    <w:rsid w:val="004E3501"/>
    <w:rsid w:val="00506A22"/>
    <w:rsid w:val="0056781E"/>
    <w:rsid w:val="00587057"/>
    <w:rsid w:val="005A1A65"/>
    <w:rsid w:val="005A4B34"/>
    <w:rsid w:val="005A4BC6"/>
    <w:rsid w:val="005B5D73"/>
    <w:rsid w:val="005C1FE3"/>
    <w:rsid w:val="005D1F9F"/>
    <w:rsid w:val="005E73E2"/>
    <w:rsid w:val="006045C4"/>
    <w:rsid w:val="006307CE"/>
    <w:rsid w:val="00634126"/>
    <w:rsid w:val="00657C48"/>
    <w:rsid w:val="00676983"/>
    <w:rsid w:val="006A20AB"/>
    <w:rsid w:val="006B3D8D"/>
    <w:rsid w:val="006C3438"/>
    <w:rsid w:val="006C5FA0"/>
    <w:rsid w:val="006D0966"/>
    <w:rsid w:val="0070150E"/>
    <w:rsid w:val="007373AA"/>
    <w:rsid w:val="007559E7"/>
    <w:rsid w:val="00782AEA"/>
    <w:rsid w:val="00786063"/>
    <w:rsid w:val="007B64E3"/>
    <w:rsid w:val="007E46FE"/>
    <w:rsid w:val="007F3B15"/>
    <w:rsid w:val="008054E0"/>
    <w:rsid w:val="00826CA2"/>
    <w:rsid w:val="00832FA4"/>
    <w:rsid w:val="00837746"/>
    <w:rsid w:val="00847A18"/>
    <w:rsid w:val="00847BEA"/>
    <w:rsid w:val="008A0415"/>
    <w:rsid w:val="008A1C6A"/>
    <w:rsid w:val="008A5335"/>
    <w:rsid w:val="008B65E7"/>
    <w:rsid w:val="008C4C77"/>
    <w:rsid w:val="008E54A9"/>
    <w:rsid w:val="00944993"/>
    <w:rsid w:val="00961A03"/>
    <w:rsid w:val="009664EA"/>
    <w:rsid w:val="00967F6A"/>
    <w:rsid w:val="00970184"/>
    <w:rsid w:val="0097176C"/>
    <w:rsid w:val="00974341"/>
    <w:rsid w:val="009D712E"/>
    <w:rsid w:val="009E7426"/>
    <w:rsid w:val="00A01C01"/>
    <w:rsid w:val="00A04319"/>
    <w:rsid w:val="00A17A69"/>
    <w:rsid w:val="00A87B9F"/>
    <w:rsid w:val="00AE1B42"/>
    <w:rsid w:val="00B00A1E"/>
    <w:rsid w:val="00B078FD"/>
    <w:rsid w:val="00B532E7"/>
    <w:rsid w:val="00B578BB"/>
    <w:rsid w:val="00B67174"/>
    <w:rsid w:val="00B76B5D"/>
    <w:rsid w:val="00B808DC"/>
    <w:rsid w:val="00B84C15"/>
    <w:rsid w:val="00B9294F"/>
    <w:rsid w:val="00BB78A4"/>
    <w:rsid w:val="00BC7812"/>
    <w:rsid w:val="00BE7C29"/>
    <w:rsid w:val="00C20DD7"/>
    <w:rsid w:val="00C31F15"/>
    <w:rsid w:val="00C3338F"/>
    <w:rsid w:val="00C578F6"/>
    <w:rsid w:val="00C604AD"/>
    <w:rsid w:val="00C86FBC"/>
    <w:rsid w:val="00C94B54"/>
    <w:rsid w:val="00CB3E17"/>
    <w:rsid w:val="00CD07F1"/>
    <w:rsid w:val="00CE132A"/>
    <w:rsid w:val="00CF0395"/>
    <w:rsid w:val="00D07DF7"/>
    <w:rsid w:val="00D11A4D"/>
    <w:rsid w:val="00D24FA3"/>
    <w:rsid w:val="00D67541"/>
    <w:rsid w:val="00D769E9"/>
    <w:rsid w:val="00D85188"/>
    <w:rsid w:val="00D931F3"/>
    <w:rsid w:val="00DA015E"/>
    <w:rsid w:val="00DD3483"/>
    <w:rsid w:val="00DD3485"/>
    <w:rsid w:val="00DF01B6"/>
    <w:rsid w:val="00DF562F"/>
    <w:rsid w:val="00E15767"/>
    <w:rsid w:val="00E203F7"/>
    <w:rsid w:val="00E215C7"/>
    <w:rsid w:val="00E23FB6"/>
    <w:rsid w:val="00E42206"/>
    <w:rsid w:val="00E525B1"/>
    <w:rsid w:val="00E8435D"/>
    <w:rsid w:val="00E9369E"/>
    <w:rsid w:val="00E9633B"/>
    <w:rsid w:val="00EA0077"/>
    <w:rsid w:val="00EA6F51"/>
    <w:rsid w:val="00EF17B5"/>
    <w:rsid w:val="00F01057"/>
    <w:rsid w:val="00F04978"/>
    <w:rsid w:val="00F05A47"/>
    <w:rsid w:val="00F11A81"/>
    <w:rsid w:val="00F22893"/>
    <w:rsid w:val="00F718F3"/>
    <w:rsid w:val="00F76C2E"/>
    <w:rsid w:val="00F801E2"/>
    <w:rsid w:val="00F87A89"/>
    <w:rsid w:val="00F96A26"/>
    <w:rsid w:val="00FB6788"/>
    <w:rsid w:val="00FD3CA8"/>
    <w:rsid w:val="00FE2185"/>
    <w:rsid w:val="00FE76AB"/>
    <w:rsid w:val="00FF1D02"/>
    <w:rsid w:val="00FF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E18DBC"/>
  <w15:chartTrackingRefBased/>
  <w15:docId w15:val="{20BA9E01-28CC-4807-AD0F-3D85B401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C89"/>
  </w:style>
  <w:style w:type="paragraph" w:styleId="Heading1">
    <w:name w:val="heading 1"/>
    <w:basedOn w:val="Normal"/>
    <w:next w:val="Normal"/>
    <w:link w:val="Heading1Char"/>
    <w:uiPriority w:val="9"/>
    <w:qFormat/>
    <w:rsid w:val="00F22893"/>
    <w:pPr>
      <w:keepNext/>
      <w:keepLines/>
      <w:spacing w:before="400" w:after="40" w:line="240" w:lineRule="auto"/>
      <w:outlineLvl w:val="0"/>
    </w:pPr>
    <w:rPr>
      <w:rFonts w:ascii="Century Gothic" w:eastAsiaTheme="majorEastAsia" w:hAnsi="Century Gothic" w:cstheme="majorBidi"/>
      <w:b/>
      <w:bCs/>
      <w:color w:val="8D2428" w:themeColor="accent1"/>
      <w:sz w:val="28"/>
      <w:szCs w:val="28"/>
    </w:rPr>
  </w:style>
  <w:style w:type="paragraph" w:styleId="Heading2">
    <w:name w:val="heading 2"/>
    <w:basedOn w:val="Normal"/>
    <w:next w:val="Normal"/>
    <w:link w:val="Heading2Char"/>
    <w:uiPriority w:val="9"/>
    <w:unhideWhenUsed/>
    <w:qFormat/>
    <w:rsid w:val="0097176C"/>
    <w:pPr>
      <w:keepNext/>
      <w:keepLines/>
      <w:spacing w:before="240" w:after="60" w:line="240" w:lineRule="auto"/>
      <w:outlineLvl w:val="1"/>
    </w:pPr>
    <w:rPr>
      <w:rFonts w:ascii="Century Gothic" w:eastAsiaTheme="majorEastAsia" w:hAnsi="Century Gothic" w:cstheme="majorBidi"/>
      <w:color w:val="691B1D" w:themeColor="accent1" w:themeShade="BF"/>
      <w:sz w:val="24"/>
      <w:szCs w:val="24"/>
    </w:rPr>
  </w:style>
  <w:style w:type="paragraph" w:styleId="Heading3">
    <w:name w:val="heading 3"/>
    <w:basedOn w:val="Normal"/>
    <w:next w:val="Normal"/>
    <w:link w:val="Heading3Char"/>
    <w:uiPriority w:val="9"/>
    <w:unhideWhenUsed/>
    <w:qFormat/>
    <w:rsid w:val="00D85188"/>
    <w:pPr>
      <w:keepNext/>
      <w:keepLines/>
      <w:spacing w:before="120" w:after="40" w:line="240" w:lineRule="auto"/>
      <w:outlineLvl w:val="2"/>
    </w:pPr>
    <w:rPr>
      <w:rFonts w:ascii="Century Gothic" w:eastAsiaTheme="majorEastAsia" w:hAnsi="Century Gothic" w:cstheme="majorBidi"/>
      <w:i/>
      <w:iCs/>
      <w:color w:val="691B1D" w:themeColor="accent1" w:themeShade="BF"/>
    </w:rPr>
  </w:style>
  <w:style w:type="paragraph" w:styleId="Heading4">
    <w:name w:val="heading 4"/>
    <w:basedOn w:val="Normal"/>
    <w:next w:val="Normal"/>
    <w:link w:val="Heading4Char"/>
    <w:uiPriority w:val="9"/>
    <w:semiHidden/>
    <w:unhideWhenUsed/>
    <w:qFormat/>
    <w:rsid w:val="00116C89"/>
    <w:pPr>
      <w:keepNext/>
      <w:keepLines/>
      <w:spacing w:before="40" w:after="0"/>
      <w:outlineLvl w:val="3"/>
    </w:pPr>
    <w:rPr>
      <w:rFonts w:asciiTheme="majorHAnsi" w:eastAsiaTheme="majorEastAsia" w:hAnsiTheme="majorHAnsi" w:cstheme="majorBidi"/>
      <w:color w:val="691B1D" w:themeColor="accent1" w:themeShade="BF"/>
      <w:sz w:val="24"/>
      <w:szCs w:val="24"/>
    </w:rPr>
  </w:style>
  <w:style w:type="paragraph" w:styleId="Heading5">
    <w:name w:val="heading 5"/>
    <w:basedOn w:val="Normal"/>
    <w:next w:val="Normal"/>
    <w:link w:val="Heading5Char"/>
    <w:uiPriority w:val="9"/>
    <w:semiHidden/>
    <w:unhideWhenUsed/>
    <w:qFormat/>
    <w:rsid w:val="00116C89"/>
    <w:pPr>
      <w:keepNext/>
      <w:keepLines/>
      <w:spacing w:before="40" w:after="0"/>
      <w:outlineLvl w:val="4"/>
    </w:pPr>
    <w:rPr>
      <w:rFonts w:asciiTheme="majorHAnsi" w:eastAsiaTheme="majorEastAsia" w:hAnsiTheme="majorHAnsi" w:cstheme="majorBidi"/>
      <w:caps/>
      <w:color w:val="691B1D" w:themeColor="accent1" w:themeShade="BF"/>
    </w:rPr>
  </w:style>
  <w:style w:type="paragraph" w:styleId="Heading6">
    <w:name w:val="heading 6"/>
    <w:basedOn w:val="Normal"/>
    <w:next w:val="Normal"/>
    <w:link w:val="Heading6Char"/>
    <w:uiPriority w:val="9"/>
    <w:semiHidden/>
    <w:unhideWhenUsed/>
    <w:qFormat/>
    <w:rsid w:val="00116C89"/>
    <w:pPr>
      <w:keepNext/>
      <w:keepLines/>
      <w:spacing w:before="40" w:after="0"/>
      <w:outlineLvl w:val="5"/>
    </w:pPr>
    <w:rPr>
      <w:rFonts w:asciiTheme="majorHAnsi" w:eastAsiaTheme="majorEastAsia" w:hAnsiTheme="majorHAnsi" w:cstheme="majorBidi"/>
      <w:i/>
      <w:iCs/>
      <w:caps/>
      <w:color w:val="461214" w:themeColor="accent1" w:themeShade="80"/>
    </w:rPr>
  </w:style>
  <w:style w:type="paragraph" w:styleId="Heading7">
    <w:name w:val="heading 7"/>
    <w:basedOn w:val="Normal"/>
    <w:next w:val="Normal"/>
    <w:link w:val="Heading7Char"/>
    <w:uiPriority w:val="9"/>
    <w:semiHidden/>
    <w:unhideWhenUsed/>
    <w:qFormat/>
    <w:rsid w:val="00116C89"/>
    <w:pPr>
      <w:keepNext/>
      <w:keepLines/>
      <w:spacing w:before="40" w:after="0"/>
      <w:outlineLvl w:val="6"/>
    </w:pPr>
    <w:rPr>
      <w:rFonts w:asciiTheme="majorHAnsi" w:eastAsiaTheme="majorEastAsia" w:hAnsiTheme="majorHAnsi" w:cstheme="majorBidi"/>
      <w:b/>
      <w:bCs/>
      <w:color w:val="461214" w:themeColor="accent1" w:themeShade="80"/>
    </w:rPr>
  </w:style>
  <w:style w:type="paragraph" w:styleId="Heading8">
    <w:name w:val="heading 8"/>
    <w:basedOn w:val="Normal"/>
    <w:next w:val="Normal"/>
    <w:link w:val="Heading8Char"/>
    <w:uiPriority w:val="9"/>
    <w:semiHidden/>
    <w:unhideWhenUsed/>
    <w:qFormat/>
    <w:rsid w:val="00116C89"/>
    <w:pPr>
      <w:keepNext/>
      <w:keepLines/>
      <w:spacing w:before="40" w:after="0"/>
      <w:outlineLvl w:val="7"/>
    </w:pPr>
    <w:rPr>
      <w:rFonts w:asciiTheme="majorHAnsi" w:eastAsiaTheme="majorEastAsia" w:hAnsiTheme="majorHAnsi" w:cstheme="majorBidi"/>
      <w:b/>
      <w:bCs/>
      <w:i/>
      <w:iCs/>
      <w:color w:val="461214" w:themeColor="accent1" w:themeShade="80"/>
    </w:rPr>
  </w:style>
  <w:style w:type="paragraph" w:styleId="Heading9">
    <w:name w:val="heading 9"/>
    <w:basedOn w:val="Normal"/>
    <w:next w:val="Normal"/>
    <w:link w:val="Heading9Char"/>
    <w:uiPriority w:val="9"/>
    <w:semiHidden/>
    <w:unhideWhenUsed/>
    <w:qFormat/>
    <w:rsid w:val="00116C89"/>
    <w:pPr>
      <w:keepNext/>
      <w:keepLines/>
      <w:spacing w:before="40" w:after="0"/>
      <w:outlineLvl w:val="8"/>
    </w:pPr>
    <w:rPr>
      <w:rFonts w:asciiTheme="majorHAnsi" w:eastAsiaTheme="majorEastAsia" w:hAnsiTheme="majorHAnsi" w:cstheme="majorBidi"/>
      <w:i/>
      <w:iCs/>
      <w:color w:val="46121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3"/>
  </w:style>
  <w:style w:type="paragraph" w:styleId="Footer">
    <w:name w:val="footer"/>
    <w:basedOn w:val="Normal"/>
    <w:link w:val="FooterChar"/>
    <w:uiPriority w:val="99"/>
    <w:unhideWhenUsed/>
    <w:rsid w:val="00944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3"/>
  </w:style>
  <w:style w:type="character" w:customStyle="1" w:styleId="Heading1Char">
    <w:name w:val="Heading 1 Char"/>
    <w:basedOn w:val="DefaultParagraphFont"/>
    <w:link w:val="Heading1"/>
    <w:uiPriority w:val="9"/>
    <w:rsid w:val="00F22893"/>
    <w:rPr>
      <w:rFonts w:ascii="Century Gothic" w:eastAsiaTheme="majorEastAsia" w:hAnsi="Century Gothic" w:cstheme="majorBidi"/>
      <w:b/>
      <w:bCs/>
      <w:color w:val="8D2428" w:themeColor="accent1"/>
      <w:sz w:val="28"/>
      <w:szCs w:val="28"/>
    </w:rPr>
  </w:style>
  <w:style w:type="character" w:customStyle="1" w:styleId="Heading2Char">
    <w:name w:val="Heading 2 Char"/>
    <w:basedOn w:val="DefaultParagraphFont"/>
    <w:link w:val="Heading2"/>
    <w:uiPriority w:val="9"/>
    <w:rsid w:val="0097176C"/>
    <w:rPr>
      <w:rFonts w:ascii="Century Gothic" w:eastAsiaTheme="majorEastAsia" w:hAnsi="Century Gothic" w:cstheme="majorBidi"/>
      <w:color w:val="691B1D" w:themeColor="accent1" w:themeShade="BF"/>
      <w:sz w:val="24"/>
      <w:szCs w:val="24"/>
    </w:rPr>
  </w:style>
  <w:style w:type="character" w:customStyle="1" w:styleId="Heading3Char">
    <w:name w:val="Heading 3 Char"/>
    <w:basedOn w:val="DefaultParagraphFont"/>
    <w:link w:val="Heading3"/>
    <w:uiPriority w:val="9"/>
    <w:rsid w:val="00D85188"/>
    <w:rPr>
      <w:rFonts w:ascii="Century Gothic" w:eastAsiaTheme="majorEastAsia" w:hAnsi="Century Gothic" w:cstheme="majorBidi"/>
      <w:i/>
      <w:iCs/>
      <w:color w:val="691B1D" w:themeColor="accent1" w:themeShade="BF"/>
    </w:rPr>
  </w:style>
  <w:style w:type="character" w:customStyle="1" w:styleId="Heading4Char">
    <w:name w:val="Heading 4 Char"/>
    <w:basedOn w:val="DefaultParagraphFont"/>
    <w:link w:val="Heading4"/>
    <w:uiPriority w:val="9"/>
    <w:semiHidden/>
    <w:rsid w:val="00116C89"/>
    <w:rPr>
      <w:rFonts w:asciiTheme="majorHAnsi" w:eastAsiaTheme="majorEastAsia" w:hAnsiTheme="majorHAnsi" w:cstheme="majorBidi"/>
      <w:color w:val="691B1D" w:themeColor="accent1" w:themeShade="BF"/>
      <w:sz w:val="24"/>
      <w:szCs w:val="24"/>
    </w:rPr>
  </w:style>
  <w:style w:type="character" w:customStyle="1" w:styleId="Heading5Char">
    <w:name w:val="Heading 5 Char"/>
    <w:basedOn w:val="DefaultParagraphFont"/>
    <w:link w:val="Heading5"/>
    <w:uiPriority w:val="9"/>
    <w:semiHidden/>
    <w:rsid w:val="00116C89"/>
    <w:rPr>
      <w:rFonts w:asciiTheme="majorHAnsi" w:eastAsiaTheme="majorEastAsia" w:hAnsiTheme="majorHAnsi" w:cstheme="majorBidi"/>
      <w:caps/>
      <w:color w:val="691B1D" w:themeColor="accent1" w:themeShade="BF"/>
    </w:rPr>
  </w:style>
  <w:style w:type="character" w:customStyle="1" w:styleId="Heading6Char">
    <w:name w:val="Heading 6 Char"/>
    <w:basedOn w:val="DefaultParagraphFont"/>
    <w:link w:val="Heading6"/>
    <w:uiPriority w:val="9"/>
    <w:semiHidden/>
    <w:rsid w:val="00116C89"/>
    <w:rPr>
      <w:rFonts w:asciiTheme="majorHAnsi" w:eastAsiaTheme="majorEastAsia" w:hAnsiTheme="majorHAnsi" w:cstheme="majorBidi"/>
      <w:i/>
      <w:iCs/>
      <w:caps/>
      <w:color w:val="461214" w:themeColor="accent1" w:themeShade="80"/>
    </w:rPr>
  </w:style>
  <w:style w:type="character" w:customStyle="1" w:styleId="Heading7Char">
    <w:name w:val="Heading 7 Char"/>
    <w:basedOn w:val="DefaultParagraphFont"/>
    <w:link w:val="Heading7"/>
    <w:uiPriority w:val="9"/>
    <w:semiHidden/>
    <w:rsid w:val="00116C89"/>
    <w:rPr>
      <w:rFonts w:asciiTheme="majorHAnsi" w:eastAsiaTheme="majorEastAsia" w:hAnsiTheme="majorHAnsi" w:cstheme="majorBidi"/>
      <w:b/>
      <w:bCs/>
      <w:color w:val="461214" w:themeColor="accent1" w:themeShade="80"/>
    </w:rPr>
  </w:style>
  <w:style w:type="character" w:customStyle="1" w:styleId="Heading8Char">
    <w:name w:val="Heading 8 Char"/>
    <w:basedOn w:val="DefaultParagraphFont"/>
    <w:link w:val="Heading8"/>
    <w:uiPriority w:val="9"/>
    <w:semiHidden/>
    <w:rsid w:val="00116C89"/>
    <w:rPr>
      <w:rFonts w:asciiTheme="majorHAnsi" w:eastAsiaTheme="majorEastAsia" w:hAnsiTheme="majorHAnsi" w:cstheme="majorBidi"/>
      <w:b/>
      <w:bCs/>
      <w:i/>
      <w:iCs/>
      <w:color w:val="461214" w:themeColor="accent1" w:themeShade="80"/>
    </w:rPr>
  </w:style>
  <w:style w:type="character" w:customStyle="1" w:styleId="Heading9Char">
    <w:name w:val="Heading 9 Char"/>
    <w:basedOn w:val="DefaultParagraphFont"/>
    <w:link w:val="Heading9"/>
    <w:uiPriority w:val="9"/>
    <w:semiHidden/>
    <w:rsid w:val="00116C89"/>
    <w:rPr>
      <w:rFonts w:asciiTheme="majorHAnsi" w:eastAsiaTheme="majorEastAsia" w:hAnsiTheme="majorHAnsi" w:cstheme="majorBidi"/>
      <w:i/>
      <w:iCs/>
      <w:color w:val="461214" w:themeColor="accent1" w:themeShade="80"/>
    </w:rPr>
  </w:style>
  <w:style w:type="paragraph" w:styleId="Caption">
    <w:name w:val="caption"/>
    <w:basedOn w:val="Normal"/>
    <w:next w:val="Normal"/>
    <w:uiPriority w:val="35"/>
    <w:semiHidden/>
    <w:unhideWhenUsed/>
    <w:qFormat/>
    <w:rsid w:val="00116C89"/>
    <w:pPr>
      <w:spacing w:line="240" w:lineRule="auto"/>
    </w:pPr>
    <w:rPr>
      <w:b/>
      <w:bCs/>
      <w:smallCaps/>
      <w:color w:val="2B2B2B" w:themeColor="text2"/>
    </w:rPr>
  </w:style>
  <w:style w:type="paragraph" w:styleId="Title">
    <w:name w:val="Title"/>
    <w:basedOn w:val="Normal"/>
    <w:next w:val="Normal"/>
    <w:link w:val="TitleChar"/>
    <w:uiPriority w:val="10"/>
    <w:qFormat/>
    <w:rsid w:val="00A01C01"/>
    <w:pPr>
      <w:spacing w:before="360" w:after="0" w:line="204" w:lineRule="auto"/>
      <w:contextualSpacing/>
    </w:pPr>
    <w:rPr>
      <w:rFonts w:ascii="Century Gothic" w:eastAsiaTheme="majorEastAsia" w:hAnsi="Century Gothic" w:cstheme="majorBidi"/>
      <w:caps/>
      <w:color w:val="2B2B2B" w:themeColor="text2"/>
      <w:sz w:val="44"/>
      <w:szCs w:val="44"/>
    </w:rPr>
  </w:style>
  <w:style w:type="character" w:customStyle="1" w:styleId="TitleChar">
    <w:name w:val="Title Char"/>
    <w:basedOn w:val="DefaultParagraphFont"/>
    <w:link w:val="Title"/>
    <w:uiPriority w:val="10"/>
    <w:rsid w:val="00A01C01"/>
    <w:rPr>
      <w:rFonts w:ascii="Century Gothic" w:eastAsiaTheme="majorEastAsia" w:hAnsi="Century Gothic" w:cstheme="majorBidi"/>
      <w:caps/>
      <w:color w:val="2B2B2B" w:themeColor="text2"/>
      <w:sz w:val="44"/>
      <w:szCs w:val="44"/>
    </w:rPr>
  </w:style>
  <w:style w:type="paragraph" w:styleId="Subtitle">
    <w:name w:val="Subtitle"/>
    <w:basedOn w:val="Normal"/>
    <w:next w:val="Normal"/>
    <w:link w:val="SubtitleChar"/>
    <w:uiPriority w:val="11"/>
    <w:qFormat/>
    <w:rsid w:val="002E3B47"/>
    <w:pPr>
      <w:numPr>
        <w:ilvl w:val="1"/>
      </w:numPr>
      <w:spacing w:after="240" w:line="240" w:lineRule="auto"/>
    </w:pPr>
    <w:rPr>
      <w:rFonts w:ascii="Century Gothic" w:eastAsiaTheme="majorEastAsia" w:hAnsi="Century Gothic" w:cstheme="majorBidi"/>
      <w:color w:val="8D2428" w:themeColor="accent1"/>
      <w:spacing w:val="20"/>
      <w:sz w:val="24"/>
      <w:szCs w:val="24"/>
    </w:rPr>
  </w:style>
  <w:style w:type="character" w:customStyle="1" w:styleId="SubtitleChar">
    <w:name w:val="Subtitle Char"/>
    <w:basedOn w:val="DefaultParagraphFont"/>
    <w:link w:val="Subtitle"/>
    <w:uiPriority w:val="11"/>
    <w:rsid w:val="002E3B47"/>
    <w:rPr>
      <w:rFonts w:ascii="Century Gothic" w:eastAsiaTheme="majorEastAsia" w:hAnsi="Century Gothic" w:cstheme="majorBidi"/>
      <w:color w:val="8D2428" w:themeColor="accent1"/>
      <w:spacing w:val="20"/>
      <w:sz w:val="24"/>
      <w:szCs w:val="24"/>
    </w:rPr>
  </w:style>
  <w:style w:type="character" w:styleId="Strong">
    <w:name w:val="Strong"/>
    <w:basedOn w:val="DefaultParagraphFont"/>
    <w:uiPriority w:val="22"/>
    <w:qFormat/>
    <w:rsid w:val="00116C89"/>
    <w:rPr>
      <w:b/>
      <w:bCs/>
    </w:rPr>
  </w:style>
  <w:style w:type="character" w:styleId="Emphasis">
    <w:name w:val="Emphasis"/>
    <w:basedOn w:val="DefaultParagraphFont"/>
    <w:uiPriority w:val="20"/>
    <w:qFormat/>
    <w:rsid w:val="00116C89"/>
    <w:rPr>
      <w:i/>
      <w:iCs/>
    </w:rPr>
  </w:style>
  <w:style w:type="paragraph" w:styleId="NoSpacing">
    <w:name w:val="No Spacing"/>
    <w:uiPriority w:val="1"/>
    <w:qFormat/>
    <w:rsid w:val="00116C89"/>
    <w:pPr>
      <w:spacing w:after="0" w:line="240" w:lineRule="auto"/>
    </w:pPr>
  </w:style>
  <w:style w:type="paragraph" w:styleId="Quote">
    <w:name w:val="Quote"/>
    <w:basedOn w:val="Normal"/>
    <w:next w:val="Normal"/>
    <w:link w:val="QuoteChar"/>
    <w:uiPriority w:val="29"/>
    <w:qFormat/>
    <w:rsid w:val="008C4C77"/>
    <w:pPr>
      <w:pBdr>
        <w:left w:val="single" w:sz="4" w:space="4" w:color="8A1C1D" w:themeColor="accent2" w:themeShade="80"/>
      </w:pBdr>
      <w:spacing w:after="60" w:line="240" w:lineRule="auto"/>
      <w:ind w:left="720"/>
    </w:pPr>
    <w:rPr>
      <w:rFonts w:asciiTheme="majorHAnsi" w:hAnsiTheme="majorHAnsi" w:cstheme="majorHAnsi"/>
      <w:color w:val="8A1C1D" w:themeColor="accent2" w:themeShade="80"/>
      <w:sz w:val="24"/>
      <w:szCs w:val="24"/>
    </w:rPr>
  </w:style>
  <w:style w:type="character" w:customStyle="1" w:styleId="QuoteChar">
    <w:name w:val="Quote Char"/>
    <w:basedOn w:val="DefaultParagraphFont"/>
    <w:link w:val="Quote"/>
    <w:uiPriority w:val="29"/>
    <w:rsid w:val="008C4C77"/>
    <w:rPr>
      <w:rFonts w:asciiTheme="majorHAnsi" w:hAnsiTheme="majorHAnsi" w:cstheme="majorHAnsi"/>
      <w:color w:val="8A1C1D" w:themeColor="accent2" w:themeShade="80"/>
      <w:sz w:val="24"/>
      <w:szCs w:val="24"/>
    </w:rPr>
  </w:style>
  <w:style w:type="paragraph" w:styleId="IntenseQuote">
    <w:name w:val="Intense Quote"/>
    <w:basedOn w:val="Normal"/>
    <w:next w:val="Normal"/>
    <w:link w:val="IntenseQuoteChar"/>
    <w:uiPriority w:val="30"/>
    <w:qFormat/>
    <w:rsid w:val="00116C89"/>
    <w:pPr>
      <w:spacing w:before="100" w:beforeAutospacing="1" w:after="240" w:line="240" w:lineRule="auto"/>
      <w:ind w:left="720"/>
      <w:jc w:val="center"/>
    </w:pPr>
    <w:rPr>
      <w:rFonts w:asciiTheme="majorHAnsi" w:eastAsiaTheme="majorEastAsia" w:hAnsiTheme="majorHAnsi" w:cstheme="majorBidi"/>
      <w:color w:val="2B2B2B" w:themeColor="text2"/>
      <w:spacing w:val="-6"/>
      <w:sz w:val="32"/>
      <w:szCs w:val="32"/>
    </w:rPr>
  </w:style>
  <w:style w:type="character" w:customStyle="1" w:styleId="IntenseQuoteChar">
    <w:name w:val="Intense Quote Char"/>
    <w:basedOn w:val="DefaultParagraphFont"/>
    <w:link w:val="IntenseQuote"/>
    <w:uiPriority w:val="30"/>
    <w:rsid w:val="00116C89"/>
    <w:rPr>
      <w:rFonts w:asciiTheme="majorHAnsi" w:eastAsiaTheme="majorEastAsia" w:hAnsiTheme="majorHAnsi" w:cstheme="majorBidi"/>
      <w:color w:val="2B2B2B" w:themeColor="text2"/>
      <w:spacing w:val="-6"/>
      <w:sz w:val="32"/>
      <w:szCs w:val="32"/>
    </w:rPr>
  </w:style>
  <w:style w:type="character" w:styleId="SubtleEmphasis">
    <w:name w:val="Subtle Emphasis"/>
    <w:basedOn w:val="DefaultParagraphFont"/>
    <w:uiPriority w:val="19"/>
    <w:qFormat/>
    <w:rsid w:val="005C1FE3"/>
    <w:rPr>
      <w:i/>
      <w:iCs/>
      <w:color w:val="595959" w:themeColor="text1" w:themeTint="A6"/>
    </w:rPr>
  </w:style>
  <w:style w:type="character" w:styleId="IntenseEmphasis">
    <w:name w:val="Intense Emphasis"/>
    <w:basedOn w:val="DefaultParagraphFont"/>
    <w:uiPriority w:val="21"/>
    <w:qFormat/>
    <w:rsid w:val="00116C89"/>
    <w:rPr>
      <w:b/>
      <w:bCs/>
      <w:i/>
      <w:iCs/>
    </w:rPr>
  </w:style>
  <w:style w:type="character" w:styleId="SubtleReference">
    <w:name w:val="Subtle Reference"/>
    <w:basedOn w:val="DefaultParagraphFont"/>
    <w:uiPriority w:val="31"/>
    <w:qFormat/>
    <w:rsid w:val="00116C8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16C89"/>
    <w:rPr>
      <w:b/>
      <w:bCs/>
      <w:smallCaps/>
      <w:color w:val="2B2B2B" w:themeColor="text2"/>
      <w:u w:val="single"/>
    </w:rPr>
  </w:style>
  <w:style w:type="character" w:styleId="BookTitle">
    <w:name w:val="Book Title"/>
    <w:basedOn w:val="DefaultParagraphFont"/>
    <w:uiPriority w:val="33"/>
    <w:qFormat/>
    <w:rsid w:val="00116C89"/>
    <w:rPr>
      <w:b/>
      <w:bCs/>
      <w:smallCaps/>
      <w:spacing w:val="10"/>
    </w:rPr>
  </w:style>
  <w:style w:type="paragraph" w:styleId="TOCHeading">
    <w:name w:val="TOC Heading"/>
    <w:basedOn w:val="Heading1"/>
    <w:next w:val="Normal"/>
    <w:uiPriority w:val="39"/>
    <w:semiHidden/>
    <w:unhideWhenUsed/>
    <w:qFormat/>
    <w:rsid w:val="00116C89"/>
    <w:pPr>
      <w:outlineLvl w:val="9"/>
    </w:pPr>
  </w:style>
  <w:style w:type="character" w:styleId="Hyperlink">
    <w:name w:val="Hyperlink"/>
    <w:basedOn w:val="DefaultParagraphFont"/>
    <w:uiPriority w:val="99"/>
    <w:unhideWhenUsed/>
    <w:rsid w:val="00D07DF7"/>
    <w:rPr>
      <w:color w:val="0000FF"/>
      <w:u w:val="single"/>
    </w:rPr>
  </w:style>
  <w:style w:type="paragraph" w:styleId="ListParagraph">
    <w:name w:val="List Paragraph"/>
    <w:basedOn w:val="NoSpacing"/>
    <w:uiPriority w:val="34"/>
    <w:qFormat/>
    <w:rsid w:val="00F22893"/>
    <w:pPr>
      <w:numPr>
        <w:numId w:val="3"/>
      </w:numPr>
    </w:pPr>
  </w:style>
  <w:style w:type="character" w:styleId="FollowedHyperlink">
    <w:name w:val="FollowedHyperlink"/>
    <w:basedOn w:val="DefaultParagraphFont"/>
    <w:uiPriority w:val="99"/>
    <w:semiHidden/>
    <w:unhideWhenUsed/>
    <w:rsid w:val="0028369D"/>
    <w:rPr>
      <w:color w:val="9CC3E5" w:themeColor="followedHyperlink"/>
      <w:u w:val="single"/>
    </w:rPr>
  </w:style>
  <w:style w:type="character" w:customStyle="1" w:styleId="UnresolvedMention">
    <w:name w:val="Unresolved Mention"/>
    <w:basedOn w:val="DefaultParagraphFont"/>
    <w:uiPriority w:val="99"/>
    <w:semiHidden/>
    <w:unhideWhenUsed/>
    <w:rsid w:val="0028369D"/>
    <w:rPr>
      <w:color w:val="605E5C"/>
      <w:shd w:val="clear" w:color="auto" w:fill="E1DFDD"/>
    </w:rPr>
  </w:style>
  <w:style w:type="paragraph" w:styleId="PlainText">
    <w:name w:val="Plain Text"/>
    <w:basedOn w:val="Normal"/>
    <w:link w:val="PlainTextChar"/>
    <w:uiPriority w:val="99"/>
    <w:unhideWhenUsed/>
    <w:rsid w:val="00DD348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DD3483"/>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345FBC"/>
    <w:rPr>
      <w:sz w:val="16"/>
      <w:szCs w:val="16"/>
    </w:rPr>
  </w:style>
  <w:style w:type="paragraph" w:styleId="CommentText">
    <w:name w:val="annotation text"/>
    <w:basedOn w:val="Normal"/>
    <w:link w:val="CommentTextChar"/>
    <w:uiPriority w:val="99"/>
    <w:semiHidden/>
    <w:unhideWhenUsed/>
    <w:rsid w:val="00345FBC"/>
    <w:pPr>
      <w:spacing w:line="240" w:lineRule="auto"/>
    </w:pPr>
    <w:rPr>
      <w:sz w:val="20"/>
      <w:szCs w:val="20"/>
    </w:rPr>
  </w:style>
  <w:style w:type="character" w:customStyle="1" w:styleId="CommentTextChar">
    <w:name w:val="Comment Text Char"/>
    <w:basedOn w:val="DefaultParagraphFont"/>
    <w:link w:val="CommentText"/>
    <w:uiPriority w:val="99"/>
    <w:semiHidden/>
    <w:rsid w:val="00345FBC"/>
    <w:rPr>
      <w:sz w:val="20"/>
      <w:szCs w:val="20"/>
    </w:rPr>
  </w:style>
  <w:style w:type="paragraph" w:styleId="CommentSubject">
    <w:name w:val="annotation subject"/>
    <w:basedOn w:val="CommentText"/>
    <w:next w:val="CommentText"/>
    <w:link w:val="CommentSubjectChar"/>
    <w:uiPriority w:val="99"/>
    <w:semiHidden/>
    <w:unhideWhenUsed/>
    <w:rsid w:val="00345FBC"/>
    <w:rPr>
      <w:b/>
      <w:bCs/>
    </w:rPr>
  </w:style>
  <w:style w:type="character" w:customStyle="1" w:styleId="CommentSubjectChar">
    <w:name w:val="Comment Subject Char"/>
    <w:basedOn w:val="CommentTextChar"/>
    <w:link w:val="CommentSubject"/>
    <w:uiPriority w:val="99"/>
    <w:semiHidden/>
    <w:rsid w:val="00345FBC"/>
    <w:rPr>
      <w:b/>
      <w:bCs/>
      <w:sz w:val="20"/>
      <w:szCs w:val="20"/>
    </w:rPr>
  </w:style>
  <w:style w:type="paragraph" w:styleId="BalloonText">
    <w:name w:val="Balloon Text"/>
    <w:basedOn w:val="Normal"/>
    <w:link w:val="BalloonTextChar"/>
    <w:uiPriority w:val="99"/>
    <w:semiHidden/>
    <w:unhideWhenUsed/>
    <w:rsid w:val="00345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FBC"/>
    <w:rPr>
      <w:rFonts w:ascii="Segoe UI" w:hAnsi="Segoe UI" w:cs="Segoe UI"/>
      <w:sz w:val="18"/>
      <w:szCs w:val="18"/>
    </w:rPr>
  </w:style>
  <w:style w:type="paragraph" w:styleId="Revision">
    <w:name w:val="Revision"/>
    <w:hidden/>
    <w:uiPriority w:val="99"/>
    <w:semiHidden/>
    <w:rsid w:val="00832FA4"/>
    <w:pPr>
      <w:spacing w:after="0" w:line="240" w:lineRule="auto"/>
    </w:pPr>
  </w:style>
  <w:style w:type="paragraph" w:customStyle="1" w:styleId="Default">
    <w:name w:val="Default"/>
    <w:basedOn w:val="Normal"/>
    <w:rsid w:val="00F801E2"/>
    <w:pPr>
      <w:autoSpaceDE w:val="0"/>
      <w:autoSpaceDN w:val="0"/>
      <w:spacing w:after="0" w:line="240" w:lineRule="auto"/>
    </w:pPr>
    <w:rPr>
      <w:rFonts w:ascii="JGNKO H+ New Century Schlbk" w:eastAsiaTheme="minorHAnsi" w:hAnsi="JGNKO H+ New Century Schlbk"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71633">
      <w:bodyDiv w:val="1"/>
      <w:marLeft w:val="0"/>
      <w:marRight w:val="0"/>
      <w:marTop w:val="0"/>
      <w:marBottom w:val="0"/>
      <w:divBdr>
        <w:top w:val="none" w:sz="0" w:space="0" w:color="auto"/>
        <w:left w:val="none" w:sz="0" w:space="0" w:color="auto"/>
        <w:bottom w:val="none" w:sz="0" w:space="0" w:color="auto"/>
        <w:right w:val="none" w:sz="0" w:space="0" w:color="auto"/>
      </w:divBdr>
    </w:div>
    <w:div w:id="583300481">
      <w:bodyDiv w:val="1"/>
      <w:marLeft w:val="0"/>
      <w:marRight w:val="0"/>
      <w:marTop w:val="0"/>
      <w:marBottom w:val="0"/>
      <w:divBdr>
        <w:top w:val="none" w:sz="0" w:space="0" w:color="auto"/>
        <w:left w:val="none" w:sz="0" w:space="0" w:color="auto"/>
        <w:bottom w:val="none" w:sz="0" w:space="0" w:color="auto"/>
        <w:right w:val="none" w:sz="0" w:space="0" w:color="auto"/>
      </w:divBdr>
    </w:div>
    <w:div w:id="973564265">
      <w:bodyDiv w:val="1"/>
      <w:marLeft w:val="0"/>
      <w:marRight w:val="0"/>
      <w:marTop w:val="0"/>
      <w:marBottom w:val="0"/>
      <w:divBdr>
        <w:top w:val="none" w:sz="0" w:space="0" w:color="auto"/>
        <w:left w:val="none" w:sz="0" w:space="0" w:color="auto"/>
        <w:bottom w:val="none" w:sz="0" w:space="0" w:color="auto"/>
        <w:right w:val="none" w:sz="0" w:space="0" w:color="auto"/>
      </w:divBdr>
    </w:div>
    <w:div w:id="1140001619">
      <w:bodyDiv w:val="1"/>
      <w:marLeft w:val="0"/>
      <w:marRight w:val="0"/>
      <w:marTop w:val="0"/>
      <w:marBottom w:val="0"/>
      <w:divBdr>
        <w:top w:val="none" w:sz="0" w:space="0" w:color="auto"/>
        <w:left w:val="none" w:sz="0" w:space="0" w:color="auto"/>
        <w:bottom w:val="none" w:sz="0" w:space="0" w:color="auto"/>
        <w:right w:val="none" w:sz="0" w:space="0" w:color="auto"/>
      </w:divBdr>
    </w:div>
    <w:div w:id="1491603603">
      <w:bodyDiv w:val="1"/>
      <w:marLeft w:val="0"/>
      <w:marRight w:val="0"/>
      <w:marTop w:val="0"/>
      <w:marBottom w:val="0"/>
      <w:divBdr>
        <w:top w:val="none" w:sz="0" w:space="0" w:color="auto"/>
        <w:left w:val="none" w:sz="0" w:space="0" w:color="auto"/>
        <w:bottom w:val="none" w:sz="0" w:space="0" w:color="auto"/>
        <w:right w:val="none" w:sz="0" w:space="0" w:color="auto"/>
      </w:divBdr>
    </w:div>
    <w:div w:id="1572427640">
      <w:bodyDiv w:val="1"/>
      <w:marLeft w:val="0"/>
      <w:marRight w:val="0"/>
      <w:marTop w:val="0"/>
      <w:marBottom w:val="0"/>
      <w:divBdr>
        <w:top w:val="none" w:sz="0" w:space="0" w:color="auto"/>
        <w:left w:val="none" w:sz="0" w:space="0" w:color="auto"/>
        <w:bottom w:val="none" w:sz="0" w:space="0" w:color="auto"/>
        <w:right w:val="none" w:sz="0" w:space="0" w:color="auto"/>
      </w:divBdr>
    </w:div>
    <w:div w:id="1830435602">
      <w:bodyDiv w:val="1"/>
      <w:marLeft w:val="0"/>
      <w:marRight w:val="0"/>
      <w:marTop w:val="0"/>
      <w:marBottom w:val="0"/>
      <w:divBdr>
        <w:top w:val="none" w:sz="0" w:space="0" w:color="auto"/>
        <w:left w:val="none" w:sz="0" w:space="0" w:color="auto"/>
        <w:bottom w:val="none" w:sz="0" w:space="0" w:color="auto"/>
        <w:right w:val="none" w:sz="0" w:space="0" w:color="auto"/>
      </w:divBdr>
    </w:div>
    <w:div w:id="1876459248">
      <w:bodyDiv w:val="1"/>
      <w:marLeft w:val="0"/>
      <w:marRight w:val="0"/>
      <w:marTop w:val="0"/>
      <w:marBottom w:val="0"/>
      <w:divBdr>
        <w:top w:val="none" w:sz="0" w:space="0" w:color="auto"/>
        <w:left w:val="none" w:sz="0" w:space="0" w:color="auto"/>
        <w:bottom w:val="none" w:sz="0" w:space="0" w:color="auto"/>
        <w:right w:val="none" w:sz="0" w:space="0" w:color="auto"/>
      </w:divBdr>
    </w:div>
    <w:div w:id="1992903315">
      <w:bodyDiv w:val="1"/>
      <w:marLeft w:val="0"/>
      <w:marRight w:val="0"/>
      <w:marTop w:val="0"/>
      <w:marBottom w:val="0"/>
      <w:divBdr>
        <w:top w:val="none" w:sz="0" w:space="0" w:color="auto"/>
        <w:left w:val="none" w:sz="0" w:space="0" w:color="auto"/>
        <w:bottom w:val="none" w:sz="0" w:space="0" w:color="auto"/>
        <w:right w:val="none" w:sz="0" w:space="0" w:color="auto"/>
      </w:divBdr>
    </w:div>
    <w:div w:id="21307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cc.gov/consumers/guides/lifeline-support-affordable-communic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l.gov/programs/assistive-technology/assistive-technolog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VID-19">
      <a:dk1>
        <a:sysClr val="windowText" lastClr="000000"/>
      </a:dk1>
      <a:lt1>
        <a:sysClr val="window" lastClr="FFFFFF"/>
      </a:lt1>
      <a:dk2>
        <a:srgbClr val="2B2B2B"/>
      </a:dk2>
      <a:lt2>
        <a:srgbClr val="E7E6E6"/>
      </a:lt2>
      <a:accent1>
        <a:srgbClr val="8D2428"/>
      </a:accent1>
      <a:accent2>
        <a:srgbClr val="E16D6E"/>
      </a:accent2>
      <a:accent3>
        <a:srgbClr val="C5C1C2"/>
      </a:accent3>
      <a:accent4>
        <a:srgbClr val="DF8B69"/>
      </a:accent4>
      <a:accent5>
        <a:srgbClr val="E1F987"/>
      </a:accent5>
      <a:accent6>
        <a:srgbClr val="954F72"/>
      </a:accent6>
      <a:hlink>
        <a:srgbClr val="2E75B5"/>
      </a:hlink>
      <a:folHlink>
        <a:srgbClr val="9CC3E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3" ma:contentTypeDescription="Create a new document." ma:contentTypeScope="" ma:versionID="4dbccb96b4e8c09674ea1b998ec7e0df">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917f1a3b2c7ab97210bf28cd914e1558"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40F0F-DFB6-41E9-A9FF-889A334C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DC804-0777-4E0D-8026-3A1A7BD26FD4}">
  <ds:schemaRefs>
    <ds:schemaRef ds:uri="http://schemas.microsoft.com/sharepoint/v3/contenttype/forms"/>
  </ds:schemaRefs>
</ds:datastoreItem>
</file>

<file path=customXml/itemProps3.xml><?xml version="1.0" encoding="utf-8"?>
<ds:datastoreItem xmlns:ds="http://schemas.openxmlformats.org/officeDocument/2006/customXml" ds:itemID="{63D3442B-1472-4387-891A-1215A651A378}">
  <ds:schemaRefs>
    <ds:schemaRef ds:uri="http://purl.org/dc/terms/"/>
    <ds:schemaRef ds:uri="http://schemas.microsoft.com/office/2006/documentManagement/types"/>
    <ds:schemaRef ds:uri="http://purl.org/dc/dcmitype/"/>
    <ds:schemaRef ds:uri="http://schemas.microsoft.com/office/infopath/2007/PartnerControls"/>
    <ds:schemaRef ds:uri="9c4568af-78d6-4de7-8a7f-d4a1b22f7f5e"/>
    <ds:schemaRef ds:uri="http://purl.org/dc/elements/1.1/"/>
    <ds:schemaRef ds:uri="http://schemas.microsoft.com/office/2006/metadata/properties"/>
    <ds:schemaRef ds:uri="http://schemas.openxmlformats.org/package/2006/metadata/core-properties"/>
    <ds:schemaRef ds:uri="cba8d4a1-0a1c-4299-93a5-2682bf5a17ad"/>
    <ds:schemaRef ds:uri="http://www.w3.org/XML/1998/namespace"/>
  </ds:schemaRefs>
</ds:datastoreItem>
</file>

<file path=customXml/itemProps4.xml><?xml version="1.0" encoding="utf-8"?>
<ds:datastoreItem xmlns:ds="http://schemas.openxmlformats.org/officeDocument/2006/customXml" ds:itemID="{90BD2578-5730-4192-9AB7-4AD49CA5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ACL COVID-19 Response</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COVID-19 Response</dc:title>
  <dc:subject/>
  <dc:creator>Administration for Community Living</dc:creator>
  <cp:keywords/>
  <dc:description/>
  <cp:lastModifiedBy>Walker, Edwin L. (ACL)</cp:lastModifiedBy>
  <cp:revision>2</cp:revision>
  <dcterms:created xsi:type="dcterms:W3CDTF">2020-04-23T20:36:00Z</dcterms:created>
  <dcterms:modified xsi:type="dcterms:W3CDTF">2020-04-23T20:36:00Z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